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罪犯杨志香，女，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日生，汉族，小学文化贵州省开阳县人。现在贵州省第二女子监狱服刑。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日，贵州省开阳县人民法院作出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0121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283</w:t>
      </w:r>
      <w:r>
        <w:rPr>
          <w:rFonts w:ascii="仿宋" w:hAnsi="仿宋" w:eastAsia="仿宋"/>
          <w:sz w:val="32"/>
          <w:szCs w:val="32"/>
        </w:rPr>
        <w:t>号刑事判决，认定杨志香犯容留卖淫罪，判处有期徒刑二年六个月（刑期自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一、认罪悔罪方面：罪犯杨志香在服刑期间，能服从法院判决，认罪悔罪。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二、遵守法律法规及监规方面：罪犯杨志香在服刑期间，认真遵守法律法规及监规纪律，服从管教。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经审查，我院认为：罪犯杨志香符合提请减刑条件。未发现提请减刑建议不当，同意将案件交监狱长办公会审核。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综上所述，罪犯杨志香在服刑改造期间，能认真遵守监规，接受教育改造，确有悔改表现。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志香提请减去有期徒刑三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