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罪犯焦忠美，女，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日生，汉族，初中文化贵州省织金县人。现在贵州省第二女子监狱服刑。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日，贵州省紫云苗族布依族自治县人民法院作出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0425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109</w:t>
      </w:r>
      <w:r>
        <w:rPr>
          <w:rFonts w:ascii="仿宋" w:hAnsi="仿宋" w:eastAsia="仿宋"/>
          <w:sz w:val="32"/>
          <w:szCs w:val="32"/>
        </w:rPr>
        <w:t>号刑事判决，认定焦忠美犯组织卖淫罪，判处有期徒刑二年（刑期自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一、认罪悔罪方面：罪犯焦忠美在服刑期间，能服从法院判决，认罪悔罪。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二、遵守法律法规及监规方面：罪犯焦忠美在服刑期间，认真遵守法律法规及监规纪律，服从管教。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经审查，我院认为：罪犯焦忠美符合提请减刑条件。未发现提请减刑建议不当，同意将案件交监狱长办公会审核。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综上所述，罪犯焦忠美在服刑改造期间，能认真遵守监规，接受教育改造，确有悔改表现。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焦忠美提请减去有期徒刑二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