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13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罪犯田茂云，女，</w:t>
      </w:r>
      <w:r>
        <w:rPr>
          <w:rFonts w:eastAsia="仿宋" w:ascii="仿宋" w:hAnsi="仿宋"/>
          <w:sz w:val="32"/>
          <w:szCs w:val="32"/>
        </w:rPr>
        <w:t>1987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日生，汉族，小学文化贵州省安龙县人。现在贵州省第二女子监狱服刑。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日，贵州省安龙县人民法院作出（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2328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97</w:t>
      </w:r>
      <w:r>
        <w:rPr>
          <w:rFonts w:ascii="仿宋" w:hAnsi="仿宋" w:eastAsia="仿宋"/>
          <w:sz w:val="32"/>
          <w:szCs w:val="32"/>
        </w:rPr>
        <w:t>号刑事判决，认定田茂云犯组织卖淫罪，判处有期徒刑五年六个月（刑期自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15000.00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207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一、认罪悔罪方面：罪犯田茂云在服刑期间，能服从法院判决，认罪悔罪。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二、遵守法律法规及监规方面：罪犯田茂云在服刑期间，基本遵守法律法规及监规纪律，服从管教。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3.85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月未完成劳动定额，扣分</w:t>
      </w:r>
      <w:r>
        <w:rPr>
          <w:rFonts w:eastAsia="仿宋" w:ascii="仿宋" w:hAnsi="仿宋"/>
          <w:sz w:val="32"/>
          <w:szCs w:val="32"/>
        </w:rPr>
        <w:t>5.97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日不遵守作息时间，扣分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从严情形：月均消费超过全省罪犯上一年度月均消费标准；该犯组织未成年人卖淫，对未成年人身心造成严重伤害。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经审查，我院认为：罪犯田茂云符合提请减刑条件。未发现提请减刑建议不当，同意将案件交监狱长办公会审核。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综上所述，罪犯田茂云在服刑改造期间，能认真遵守监规，接受教育改造，确有悔改表现。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田茂云提请减去有期徒刑四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