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16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罪犯杨国秀，女，</w:t>
      </w:r>
      <w:r>
        <w:rPr>
          <w:rFonts w:eastAsia="仿宋" w:ascii="仿宋" w:hAnsi="仿宋"/>
          <w:sz w:val="32"/>
          <w:szCs w:val="32"/>
        </w:rPr>
        <w:t>1965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日生，汉族，初中文化贵州省遵义市人。现在贵州省第二女子监狱服刑。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日，贵州省遵义市汇川区人民法院作出（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0303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130</w:t>
      </w:r>
      <w:r>
        <w:rPr>
          <w:rFonts w:ascii="仿宋" w:hAnsi="仿宋" w:eastAsia="仿宋"/>
          <w:sz w:val="32"/>
          <w:szCs w:val="32"/>
        </w:rPr>
        <w:t>号刑事判决，认定杨国秀犯开设赌场罪，判处有期徒刑五年（刑期自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50000.00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一、认罪悔罪方面：罪犯杨国秀在服刑期间，能服从法院判决，认罪悔罪。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二、遵守法律法规及监规方面：罪犯杨国秀在服刑期间，基本遵守法律法规及监规纪律，服从管教。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8.04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6.63</w:t>
      </w:r>
      <w:r>
        <w:rPr>
          <w:rFonts w:ascii="仿宋" w:hAnsi="仿宋" w:eastAsia="仿宋"/>
          <w:sz w:val="32"/>
          <w:szCs w:val="32"/>
        </w:rPr>
        <w:t>分；该犯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13.28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14.31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02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14.61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03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10.48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04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10.16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05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15.78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06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16.53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07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16.50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08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14.45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09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18.63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14.63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11.67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日，罪犯杨国秀洗完衣服之后，将衣服晾晒至监舍床头，不按规定晾晒囚服，扣分</w:t>
      </w:r>
      <w:r>
        <w:rPr>
          <w:rFonts w:eastAsia="仿宋" w:ascii="仿宋" w:hAnsi="仿宋"/>
          <w:sz w:val="32"/>
          <w:szCs w:val="32"/>
        </w:rPr>
        <w:t>3.00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经审查，我院认为：罪犯杨国秀符合提请减刑条件。未发现提请减刑建议不当，同意将案件交监狱长办公会审核。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综上所述，罪犯杨国秀在服刑改造期间，能认真遵守监规，接受教育改造，确有悔改表现。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国秀提请减去有期徒刑九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