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28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罪犯王细寒，女，</w:t>
      </w:r>
      <w:r>
        <w:rPr>
          <w:rFonts w:eastAsia="仿宋" w:ascii="仿宋" w:hAnsi="仿宋"/>
          <w:sz w:val="32"/>
          <w:szCs w:val="32"/>
        </w:rPr>
        <w:t>1994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日生，汉族，初中文化贵州省册亨县人。现在贵州省第二女子监狱服刑。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日，贵州省毕节市中级人民法院作出（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）黔毕中刑初字第</w:t>
      </w:r>
      <w:r>
        <w:rPr>
          <w:rFonts w:eastAsia="仿宋" w:ascii="仿宋" w:hAnsi="仿宋"/>
          <w:sz w:val="32"/>
          <w:szCs w:val="32"/>
        </w:rPr>
        <w:t>85</w:t>
      </w:r>
      <w:r>
        <w:rPr>
          <w:rFonts w:ascii="仿宋" w:hAnsi="仿宋" w:eastAsia="仿宋"/>
          <w:sz w:val="32"/>
          <w:szCs w:val="32"/>
        </w:rPr>
        <w:t>号刑事判决，认定王细寒犯贩卖、运输毒品罪，判处有期徒刑十三年（刑期自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日止），剥夺政治权利三年，并处没收个人财产人民币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元。同案不服，提出上诉。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日，贵州省高级人民法院作出（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）黔高刑一终字第</w:t>
      </w:r>
      <w:r>
        <w:rPr>
          <w:rFonts w:eastAsia="仿宋" w:ascii="仿宋" w:hAnsi="仿宋"/>
          <w:sz w:val="32"/>
          <w:szCs w:val="32"/>
        </w:rPr>
        <w:t>270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日经贵州省贵阳市中级人民法院裁定减去有期徒刑二个月，剥夺政治权利三年；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日经贵州省贵阳市中级人民法院裁定减去有期徒刑九个月，剥夺政治权利三年。刑期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一、认罪悔罪方面：罪犯王细寒在服刑期间，能服从法院判决，认罪悔罪。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二、遵守法律法规及监规方面：罪犯王细寒在服刑期间，基本遵守法律法规及监规纪律，服从管教。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已部分履行</w:t>
      </w:r>
      <w:r>
        <w:rPr>
          <w:rFonts w:eastAsia="仿宋" w:ascii="仿宋" w:hAnsi="仿宋"/>
          <w:sz w:val="32"/>
          <w:szCs w:val="32"/>
        </w:rPr>
        <w:t>2000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 xml:space="preserve">月因欠产扣 </w:t>
      </w:r>
      <w:r>
        <w:rPr>
          <w:rFonts w:eastAsia="仿宋" w:ascii="仿宋" w:hAnsi="仿宋"/>
          <w:sz w:val="32"/>
          <w:szCs w:val="32"/>
        </w:rPr>
        <w:t>2.33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月因违反操作规程扣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分，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月因乱晾衣服扣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从严情形：月均消费超过全省罪犯上一年度月均消费额度。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经审查，我院认为：罪犯王细寒符合提请减刑条件。未发现提请减刑建议不当，同意将案件交监狱长办公会审核。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综上所述，罪犯王细寒自上次裁定减刑以来，能认真遵守监规，接受教育改造，确有悔改表现。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细寒提请减去有期徒刑八个月，剥夺政治权利三年不变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