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罪犯岳蓉，女，</w:t>
      </w:r>
      <w:r>
        <w:rPr>
          <w:rFonts w:eastAsia="仿宋" w:ascii="仿宋" w:hAnsi="仿宋"/>
          <w:sz w:val="32"/>
          <w:szCs w:val="32"/>
        </w:rPr>
        <w:t>1995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日生，汉族，小学文化贵州省织金县人。现在贵州省第二女子监狱服刑。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日，贵州省开阳县人民法院作出（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0121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43</w:t>
      </w:r>
      <w:r>
        <w:rPr>
          <w:rFonts w:ascii="仿宋" w:hAnsi="仿宋" w:eastAsia="仿宋"/>
          <w:sz w:val="32"/>
          <w:szCs w:val="32"/>
        </w:rPr>
        <w:t>号刑事判决，认定岳蓉岳蓉犯贩卖毒品罪，判处有期徒刑九年六个月，并处罚金人民币一万元；犯非法持有毒品罪，判处有期徒刑二年六个月，并处罚金人民币三千元；合并执行有期徒刑十一年六个月，并处罚金人民币一万三千元；原犯贩卖毒品罪，被判处有期徒刑十五年，并处罚金人民币三万元；总和刑期二十六年六个月，决定执行有期徒刑二十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2042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日止），并处罚金人民币四万三千元，继续追缴违法所得人民币一千元。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2042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一、认罪悔罪方面：罪犯岳蓉在服刑期间，能服从法院判决，认罪悔罪。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二、遵守法律法规及监规方面：罪犯岳蓉在服刑期间，基本遵守法律法规及监规纪律，服从管教。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43000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1000</w:t>
      </w:r>
      <w:r>
        <w:rPr>
          <w:rFonts w:ascii="仿宋" w:hAnsi="仿宋" w:eastAsia="仿宋"/>
          <w:sz w:val="32"/>
          <w:szCs w:val="32"/>
        </w:rPr>
        <w:t>元（已缴纳）。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4.63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日因未完成劳动定额扣分</w:t>
      </w:r>
      <w:r>
        <w:rPr>
          <w:rFonts w:eastAsia="仿宋" w:ascii="仿宋" w:hAnsi="仿宋"/>
          <w:sz w:val="32"/>
          <w:szCs w:val="32"/>
        </w:rPr>
        <w:t>2.10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经审查，我院认为：罪犯岳蓉符合提请减刑条件。未发现提请减刑建议不当，同意将案件交监狱长办公会审核。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综上所述，罪犯岳蓉在服刑改造期间，能认真遵守监规，接受教育改造，确有悔改表现。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岳蓉提请减去有期徒刑三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