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44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罪犯张德菊，女，</w:t>
      </w:r>
      <w:r>
        <w:rPr>
          <w:rFonts w:eastAsia="仿宋" w:ascii="仿宋" w:hAnsi="仿宋"/>
          <w:sz w:val="32"/>
          <w:szCs w:val="32"/>
        </w:rPr>
        <w:t>1976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日生，汉族，初中文化贵州省修文县人。现在贵州省第二女子监狱服刑。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日，贵州省修文县人民法院作出（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0123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233</w:t>
      </w:r>
      <w:r>
        <w:rPr>
          <w:rFonts w:ascii="仿宋" w:hAnsi="仿宋" w:eastAsia="仿宋"/>
          <w:sz w:val="32"/>
          <w:szCs w:val="32"/>
        </w:rPr>
        <w:t>号刑事判决，认定张德菊犯贩卖毒品罪，判处有期徒刑七年六个月（刑期自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日经贵州省贵阳市中级人民法院裁定减去有期徒刑七个月。刑期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一、认罪悔罪方面：罪犯张德菊在服刑期间，能服从法院判决，认罪悔罪。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二、遵守法律法规及监规方面：罪犯张德菊在服刑期间，基本遵守法律法规及监规纪律，服从管教。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2.25%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0.78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日因不按分监区规定随意记录工效扣分</w:t>
      </w:r>
      <w:r>
        <w:rPr>
          <w:rFonts w:eastAsia="仿宋" w:ascii="仿宋" w:hAnsi="仿宋"/>
          <w:sz w:val="32"/>
          <w:szCs w:val="32"/>
        </w:rPr>
        <w:t>15.00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日该犯私改囚服扣分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日因作为一线生产质检不认真查货导致产品质量不达标，造成九百余件产品返工扣分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日因罪犯孙代霞出言挑衅，引发二犯产生肢体挑衅，激化矛盾扣分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4.08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5.88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日因与罪犯王燕以传递物资的方式违规消费扣分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15.42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从严情形：毒品再犯；累犯；月均消费超过全省罪犯上一年度月均消费标准。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经审查，我院认为：罪犯张德菊符合提请减刑条件。未发现提请减刑建议不当，同意将案件交监狱长办公会审核。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综上所述，罪犯张德菊自上次裁定减刑以来，能认真遵守监规，接受教育改造，确有悔改表现。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德菊提请减去有期徒刑二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