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罪犯熊饶飞，女，</w:t>
      </w:r>
      <w:r>
        <w:rPr>
          <w:rFonts w:eastAsia="仿宋" w:ascii="仿宋" w:hAnsi="仿宋"/>
          <w:sz w:val="32"/>
          <w:szCs w:val="32"/>
        </w:rPr>
        <w:t>1994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日生，土家族，小学文化贵州省铜仁市人。现在贵州省第二女子监狱服刑。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日，贵州省铜仁市碧江区人民法院作出（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0602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363</w:t>
      </w:r>
      <w:r>
        <w:rPr>
          <w:rFonts w:ascii="仿宋" w:hAnsi="仿宋" w:eastAsia="仿宋"/>
          <w:sz w:val="32"/>
          <w:szCs w:val="32"/>
        </w:rPr>
        <w:t>号刑事判决，认定熊饶飞犯贩卖、运输毒品罪，判处有期徒刑八年（刑期自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日，贵州省铜仁市中级人民法院作出（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一、认罪悔罪方面：罪犯熊饶飞在服刑期间，能服从法院判决，认罪悔罪。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二、遵守法律法规及监规方面：罪犯熊饶飞在服刑期间，基本遵守法律法规及监规纪律，服从管教。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2.56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</w:t>
      </w:r>
      <w:r>
        <w:rPr>
          <w:rFonts w:eastAsia="仿宋" w:ascii="仿宋" w:hAnsi="仿宋"/>
          <w:sz w:val="32"/>
          <w:u w:val="none" w:color="00000A"/>
        </w:rPr>
        <w:t>2014</w:t>
      </w:r>
      <w:r>
        <w:rPr>
          <w:rFonts w:ascii="仿宋" w:hAnsi="仿宋" w:eastAsia="仿宋"/>
          <w:sz w:val="32"/>
          <w:u w:val="none" w:color="00000A"/>
        </w:rPr>
        <w:t>年至</w:t>
      </w:r>
      <w:r>
        <w:rPr>
          <w:rFonts w:eastAsia="仿宋" w:ascii="仿宋" w:hAnsi="仿宋"/>
          <w:sz w:val="32"/>
          <w:u w:val="none" w:color="00000A"/>
        </w:rPr>
        <w:t>2017</w:t>
      </w:r>
      <w:r>
        <w:rPr>
          <w:rFonts w:ascii="仿宋" w:hAnsi="仿宋" w:eastAsia="仿宋"/>
          <w:sz w:val="32"/>
          <w:u w:val="none" w:color="00000A"/>
        </w:rPr>
        <w:t>年期间曾因吸毒被行政拘留、强制戒毒，后不思改进行涉毒犯罪，主观恶性较深，社会危害性较大。建议从严提请减刑八个月。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综上所述，罪犯熊饶飞自上次裁定减刑以来，能认真遵守监规，接受教育改造，确有悔改表现。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熊饶飞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