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63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罪犯杨艳，女，</w:t>
      </w:r>
      <w:r>
        <w:rPr>
          <w:rFonts w:eastAsia="仿宋" w:ascii="仿宋" w:hAnsi="仿宋"/>
          <w:sz w:val="32"/>
          <w:szCs w:val="32"/>
        </w:rPr>
        <w:t>1996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日生，汉族，初中文化贵州省遵义市播州区人。现在贵州省第二女子监狱服刑。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日，贵州省贵阳市花溪区人民法院作出（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0111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81</w:t>
      </w:r>
      <w:r>
        <w:rPr>
          <w:rFonts w:ascii="仿宋" w:hAnsi="仿宋" w:eastAsia="仿宋"/>
          <w:sz w:val="32"/>
          <w:szCs w:val="32"/>
        </w:rPr>
        <w:t>号刑事判决，认定杨艳犯掩饰、隐瞒犯罪所得罪，判处有期徒刑二年六个月（刑期自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8000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一、认罪悔罪方面：罪犯杨艳在服刑期间，能服从法院判决，认罪悔罪。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二、遵守法律法规及监规方面：罪犯杨艳在服刑期间，认真遵守法律法规及监规纪律，服从管教。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8000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综上所述，罪犯杨艳在服刑改造期间，能认真遵守监规，接受教育改造，确有悔改表现。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艳提请减去有期徒刑五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