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pStyle w:val="Normal"/>
        <w:jc w:val="right"/>
        <w:rPr>
          <w:rFonts w:ascii="楷体" w:hAnsi="楷体" w:eastAsia="楷体"/>
          <w:sz w:val="32"/>
          <w:szCs w:val="32"/>
        </w:rPr>
      </w:pPr>
      <w:r>
        <w:rPr>
          <w:rFonts w:eastAsia="楷体" w:ascii="楷体" w:hAnsi="楷体"/>
          <w:sz w:val="32"/>
          <w:szCs w:val="32"/>
        </w:rPr>
        <w:t>(2025)</w:t>
      </w:r>
      <w:r>
        <w:rPr>
          <w:rFonts w:ascii="楷体" w:hAnsi="楷体" w:eastAsia="楷体"/>
          <w:sz w:val="32"/>
          <w:szCs w:val="32"/>
        </w:rPr>
        <w:t>黔二女监有期减字第</w:t>
      </w:r>
      <w:r>
        <w:rPr>
          <w:rFonts w:eastAsia="楷体" w:ascii="楷体" w:hAnsi="楷体"/>
          <w:sz w:val="32"/>
          <w:szCs w:val="32"/>
        </w:rPr>
        <w:t>64</w:t>
      </w:r>
      <w:r>
        <w:rPr>
          <w:rFonts w:ascii="楷体" w:hAnsi="楷体" w:eastAsia="楷体"/>
          <w:sz w:val="32"/>
          <w:szCs w:val="32"/>
        </w:rPr>
        <w:t>号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罪犯毛祖梅，女，</w:t>
      </w:r>
      <w:r>
        <w:rPr>
          <w:rFonts w:eastAsia="仿宋" w:ascii="仿宋" w:hAnsi="仿宋"/>
          <w:sz w:val="32"/>
          <w:szCs w:val="32"/>
        </w:rPr>
        <w:t>1985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15</w:t>
      </w:r>
      <w:r>
        <w:rPr>
          <w:rFonts w:ascii="仿宋" w:hAnsi="仿宋" w:eastAsia="仿宋"/>
          <w:sz w:val="32"/>
          <w:szCs w:val="32"/>
        </w:rPr>
        <w:t>日生，汉族，中专文化贵州省金沙县人。现在贵州省第二女子监狱服刑。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日，贵州省金沙县人民法院作出（</w:t>
      </w:r>
      <w:r>
        <w:rPr>
          <w:rFonts w:eastAsia="仿宋" w:ascii="仿宋" w:hAnsi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）黔</w:t>
      </w:r>
      <w:r>
        <w:rPr>
          <w:rFonts w:eastAsia="仿宋" w:ascii="仿宋" w:hAnsi="仿宋"/>
          <w:sz w:val="32"/>
          <w:szCs w:val="32"/>
        </w:rPr>
        <w:t>0523</w:t>
      </w:r>
      <w:r>
        <w:rPr>
          <w:rFonts w:ascii="仿宋" w:hAnsi="仿宋" w:eastAsia="仿宋"/>
          <w:sz w:val="32"/>
          <w:szCs w:val="32"/>
        </w:rPr>
        <w:t>刑初</w:t>
      </w:r>
      <w:r>
        <w:rPr>
          <w:rFonts w:eastAsia="仿宋" w:ascii="仿宋" w:hAnsi="仿宋"/>
          <w:sz w:val="32"/>
          <w:szCs w:val="32"/>
        </w:rPr>
        <w:t>121</w:t>
      </w:r>
      <w:r>
        <w:rPr>
          <w:rFonts w:ascii="仿宋" w:hAnsi="仿宋" w:eastAsia="仿宋"/>
          <w:sz w:val="32"/>
          <w:szCs w:val="32"/>
        </w:rPr>
        <w:t>号刑事判决，认定毛祖梅犯组织、领导传销活动罪，判处有期徒刑五年（刑期自</w:t>
      </w:r>
      <w:r>
        <w:rPr>
          <w:rFonts w:eastAsia="仿宋" w:ascii="仿宋" w:hAnsi="仿宋"/>
          <w:sz w:val="32"/>
          <w:szCs w:val="32"/>
        </w:rPr>
        <w:t>2020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日起至</w:t>
      </w:r>
      <w:r>
        <w:rPr>
          <w:rFonts w:eastAsia="仿宋" w:ascii="仿宋" w:hAnsi="仿宋"/>
          <w:sz w:val="32"/>
          <w:szCs w:val="32"/>
        </w:rPr>
        <w:t>2025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日止），罚金人民币</w:t>
      </w:r>
      <w:r>
        <w:rPr>
          <w:rFonts w:eastAsia="仿宋" w:ascii="仿宋" w:hAnsi="仿宋"/>
          <w:sz w:val="32"/>
          <w:szCs w:val="32"/>
        </w:rPr>
        <w:t>800000.00</w:t>
      </w:r>
      <w:r>
        <w:rPr>
          <w:rFonts w:ascii="仿宋" w:hAnsi="仿宋" w:eastAsia="仿宋"/>
          <w:sz w:val="32"/>
          <w:szCs w:val="32"/>
        </w:rPr>
        <w:t>元，追缴违法所得人民币</w:t>
      </w:r>
      <w:r>
        <w:rPr>
          <w:rFonts w:eastAsia="仿宋" w:ascii="仿宋" w:hAnsi="仿宋"/>
          <w:sz w:val="32"/>
          <w:szCs w:val="32"/>
        </w:rPr>
        <w:t>1353166.00</w:t>
      </w:r>
      <w:r>
        <w:rPr>
          <w:rFonts w:ascii="仿宋" w:hAnsi="仿宋" w:eastAsia="仿宋"/>
          <w:sz w:val="32"/>
          <w:szCs w:val="32"/>
        </w:rPr>
        <w:t>元。同案不服，提出上诉。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31</w:t>
      </w:r>
      <w:r>
        <w:rPr>
          <w:rFonts w:ascii="仿宋" w:hAnsi="仿宋" w:eastAsia="仿宋"/>
          <w:sz w:val="32"/>
          <w:szCs w:val="32"/>
        </w:rPr>
        <w:t>日，贵州省毕节市中级人民法院作出（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）黔</w:t>
      </w:r>
      <w:r>
        <w:rPr>
          <w:rFonts w:eastAsia="仿宋" w:ascii="仿宋" w:hAnsi="仿宋"/>
          <w:sz w:val="32"/>
          <w:szCs w:val="32"/>
        </w:rPr>
        <w:t>05</w:t>
      </w:r>
      <w:r>
        <w:rPr>
          <w:rFonts w:ascii="仿宋" w:hAnsi="仿宋" w:eastAsia="仿宋"/>
          <w:sz w:val="32"/>
          <w:szCs w:val="32"/>
        </w:rPr>
        <w:t>刑终字第</w:t>
      </w:r>
      <w:r>
        <w:rPr>
          <w:rFonts w:eastAsia="仿宋" w:ascii="仿宋" w:hAnsi="仿宋"/>
          <w:sz w:val="32"/>
          <w:szCs w:val="32"/>
        </w:rPr>
        <w:t>323</w:t>
      </w:r>
      <w:r>
        <w:rPr>
          <w:rFonts w:ascii="仿宋" w:hAnsi="仿宋" w:eastAsia="仿宋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18</w:t>
      </w:r>
      <w:r>
        <w:rPr>
          <w:rFonts w:ascii="仿宋" w:hAnsi="仿宋" w:eastAsia="仿宋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服刑期间执行刑期变动情况：无。刑期</w:t>
      </w:r>
      <w:r>
        <w:rPr>
          <w:rFonts w:eastAsia="仿宋" w:ascii="仿宋" w:hAnsi="仿宋"/>
          <w:sz w:val="32"/>
          <w:szCs w:val="32"/>
        </w:rPr>
        <w:t>2020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日至</w:t>
      </w:r>
      <w:r>
        <w:rPr>
          <w:rFonts w:eastAsia="仿宋" w:ascii="仿宋" w:hAnsi="仿宋"/>
          <w:sz w:val="32"/>
          <w:szCs w:val="32"/>
        </w:rPr>
        <w:t>2025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日。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一、认罪悔罪方面：罪犯毛祖梅在服刑期间，能服从法院判决，认罪悔罪。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二、遵守法律法规及监规方面：罪犯毛祖梅在服刑期间，认真遵守法律法规及监规纪律，服从管教。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</w:t>
      </w:r>
      <w:r>
        <w:rPr>
          <w:rFonts w:eastAsia="仿宋" w:ascii="仿宋" w:hAnsi="仿宋"/>
          <w:sz w:val="32"/>
          <w:szCs w:val="32"/>
        </w:rPr>
        <w:t>800000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eastAsia="仿宋" w:ascii="仿宋" w:hAnsi="仿宋"/>
          <w:sz w:val="32"/>
          <w:szCs w:val="32"/>
        </w:rPr>
        <w:t>(</w:t>
      </w:r>
      <w:r>
        <w:rPr>
          <w:rFonts w:ascii="仿宋" w:hAnsi="仿宋" w:eastAsia="仿宋"/>
          <w:sz w:val="32"/>
          <w:szCs w:val="32"/>
        </w:rPr>
        <w:t>未缴纳</w:t>
      </w:r>
      <w:r>
        <w:rPr>
          <w:rFonts w:eastAsia="仿宋" w:ascii="仿宋" w:hAnsi="仿宋"/>
          <w:sz w:val="32"/>
          <w:szCs w:val="32"/>
        </w:rPr>
        <w:t>)</w:t>
      </w:r>
      <w:r>
        <w:rPr>
          <w:rFonts w:ascii="仿宋" w:hAnsi="仿宋" w:eastAsia="仿宋"/>
          <w:sz w:val="32"/>
          <w:szCs w:val="32"/>
        </w:rPr>
        <w:t>；追缴违法所得人民币</w:t>
      </w:r>
      <w:r>
        <w:rPr>
          <w:rFonts w:eastAsia="仿宋" w:ascii="仿宋" w:hAnsi="仿宋"/>
          <w:sz w:val="32"/>
          <w:szCs w:val="32"/>
        </w:rPr>
        <w:t>1353166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eastAsia="仿宋" w:ascii="仿宋" w:hAnsi="仿宋"/>
          <w:sz w:val="32"/>
          <w:szCs w:val="32"/>
        </w:rPr>
        <w:t>(</w:t>
      </w:r>
      <w:r>
        <w:rPr>
          <w:rFonts w:ascii="仿宋" w:hAnsi="仿宋" w:eastAsia="仿宋"/>
          <w:sz w:val="32"/>
          <w:szCs w:val="32"/>
        </w:rPr>
        <w:t>未缴纳</w:t>
      </w:r>
      <w:r>
        <w:rPr>
          <w:rFonts w:eastAsia="仿宋" w:ascii="仿宋" w:hAnsi="仿宋"/>
          <w:sz w:val="32"/>
          <w:szCs w:val="32"/>
        </w:rPr>
        <w:t>)</w:t>
      </w:r>
      <w:r>
        <w:rPr>
          <w:rFonts w:ascii="仿宋" w:hAnsi="仿宋" w:eastAsia="仿宋"/>
          <w:sz w:val="32"/>
          <w:szCs w:val="32"/>
        </w:rPr>
        <w:t>（法院执行情况：未履行已执行）。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月获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个表扬；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月获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个表扬；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月获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个表扬；获得共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经审查，我院认为：罪犯毛祖梅符合提请减刑条件。未发现提请减刑建议不当，同意将案件交监狱长办公会审核。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综上所述，罪犯毛祖梅在服刑改造期间，能认真遵守监规，接受教育改造，确有悔改表现。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毛祖梅提请减去有期徒刑八个月。特提请裁定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pStyle w:val="Normal"/>
        <w:snapToGrid w:val="false"/>
        <w:spacing w:lineRule="exact" w: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48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3416300</wp:posOffset>
            </wp:positionH>
            <wp:positionV relativeFrom="paragraph">
              <wp:posOffset>156210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480"/>
        <w:ind w:firstLine="5760"/>
        <w:rPr/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方正小标宋简体">
    <w:charset w:val="01"/>
    <w:family w:val="roman"/>
    <w:pitch w:val="variable"/>
  </w:font>
  <w:font w:name="楷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a3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a5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link w:val="a7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a9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a4"/>
    <w:uiPriority w:val="99"/>
    <w:unhideWhenUsed/>
    <w:rsid w:val="00c915da"/>
    <w:pPr>
      <w:pBdr>
        <w:bottom w:val="single" w:sz="6" w:space="1" w:color="00000A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a6"/>
    <w:uiPriority w:val="99"/>
    <w:unhideWhenUsed/>
    <w:rsid w:val="00c915da"/>
    <w:pPr>
      <w:tabs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ComplimentaryClose">
    <w:name w:val="Salutation"/>
    <w:basedOn w:val="Normal"/>
    <w:link w:val="a8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aa"/>
    <w:uiPriority w:val="99"/>
    <w:unhideWhenUsed/>
    <w:qFormat/>
    <w:rsid w:val="00d57885"/>
    <w:pPr>
      <w:ind w:left="100" w:hanging="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LibreOffice/5.3.6.1$Linux_X86_64 LibreOffice_project/30$Build-1</Application>
  <Pages>1</Pages>
  <Words>33</Words>
  <Characters>190</Characters>
  <CharactersWithSpaces>222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2024-09-23T01:46:00Z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