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pStyle w:val="Normal"/>
        <w:jc w:val="right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  <w:t>(2025)</w:t>
      </w:r>
      <w:r>
        <w:rPr>
          <w:rFonts w:ascii="楷体" w:hAnsi="楷体" w:eastAsia="楷体"/>
          <w:sz w:val="32"/>
          <w:szCs w:val="32"/>
        </w:rPr>
        <w:t>黔二女监有期减字第</w:t>
      </w:r>
      <w:r>
        <w:rPr>
          <w:rFonts w:eastAsia="楷体" w:ascii="楷体" w:hAnsi="楷体"/>
          <w:sz w:val="32"/>
          <w:szCs w:val="32"/>
        </w:rPr>
        <w:t>67</w:t>
      </w:r>
      <w:r>
        <w:rPr>
          <w:rFonts w:ascii="楷体" w:hAnsi="楷体" w:eastAsia="楷体"/>
          <w:sz w:val="32"/>
          <w:szCs w:val="32"/>
        </w:rPr>
        <w:t>号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罪犯潘珍，女，</w:t>
      </w:r>
      <w:r>
        <w:rPr>
          <w:rFonts w:eastAsia="仿宋" w:ascii="仿宋" w:hAnsi="仿宋"/>
          <w:sz w:val="32"/>
          <w:szCs w:val="32"/>
        </w:rPr>
        <w:t>1987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日生，苗族，小学文化贵州省贵阳市白云区人。现在贵州省第二女子监狱服刑。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26</w:t>
      </w:r>
      <w:r>
        <w:rPr>
          <w:rFonts w:ascii="仿宋" w:hAnsi="仿宋" w:eastAsia="仿宋"/>
          <w:sz w:val="32"/>
          <w:szCs w:val="32"/>
        </w:rPr>
        <w:t>日，贵州省黔东南苗族侗族自治州中级人民法院作出（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）黔</w:t>
      </w:r>
      <w:r>
        <w:rPr>
          <w:rFonts w:eastAsia="仿宋" w:ascii="仿宋" w:hAnsi="仿宋"/>
          <w:sz w:val="32"/>
          <w:szCs w:val="32"/>
        </w:rPr>
        <w:t>26</w:t>
      </w:r>
      <w:r>
        <w:rPr>
          <w:rFonts w:ascii="仿宋" w:hAnsi="仿宋" w:eastAsia="仿宋"/>
          <w:sz w:val="32"/>
          <w:szCs w:val="32"/>
        </w:rPr>
        <w:t>刑初</w:t>
      </w:r>
      <w:r>
        <w:rPr>
          <w:rFonts w:eastAsia="仿宋" w:ascii="仿宋" w:hAnsi="仿宋"/>
          <w:sz w:val="32"/>
          <w:szCs w:val="32"/>
        </w:rPr>
        <w:t>51</w:t>
      </w:r>
      <w:r>
        <w:rPr>
          <w:rFonts w:ascii="仿宋" w:hAnsi="仿宋" w:eastAsia="仿宋"/>
          <w:sz w:val="32"/>
          <w:szCs w:val="32"/>
        </w:rPr>
        <w:t>号刑事附带民事判决，认定潘珍犯故意伤害罪，判处有期徒刑十五年（刑期自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日起至</w:t>
      </w:r>
      <w:r>
        <w:rPr>
          <w:rFonts w:eastAsia="仿宋" w:ascii="仿宋" w:hAnsi="仿宋"/>
          <w:sz w:val="32"/>
          <w:szCs w:val="32"/>
        </w:rPr>
        <w:t>2036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日止），剥夺政治权利五年，赔偿附带民事诉讼原告人民币</w:t>
      </w:r>
      <w:r>
        <w:rPr>
          <w:rFonts w:eastAsia="仿宋" w:ascii="仿宋" w:hAnsi="仿宋"/>
          <w:sz w:val="32"/>
          <w:szCs w:val="32"/>
        </w:rPr>
        <w:t>10000.00</w:t>
      </w:r>
      <w:r>
        <w:rPr>
          <w:rFonts w:ascii="仿宋" w:hAnsi="仿宋" w:eastAsia="仿宋"/>
          <w:sz w:val="32"/>
          <w:szCs w:val="32"/>
        </w:rPr>
        <w:t>元。该犯不服，提出上诉。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23</w:t>
      </w:r>
      <w:r>
        <w:rPr>
          <w:rFonts w:ascii="仿宋" w:hAnsi="仿宋" w:eastAsia="仿宋"/>
          <w:sz w:val="32"/>
          <w:szCs w:val="32"/>
        </w:rPr>
        <w:t>日，贵州省高级人民法院作出（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）黔刑终</w:t>
      </w:r>
      <w:r>
        <w:rPr>
          <w:rFonts w:eastAsia="仿宋" w:ascii="仿宋" w:hAnsi="仿宋"/>
          <w:sz w:val="32"/>
          <w:szCs w:val="32"/>
        </w:rPr>
        <w:t>14</w:t>
      </w:r>
      <w:r>
        <w:rPr>
          <w:rFonts w:ascii="仿宋" w:hAnsi="仿宋" w:eastAsia="仿宋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服刑期间执行刑期变动情况：无。刑期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eastAsia="仿宋" w:ascii="仿宋" w:hAnsi="仿宋"/>
          <w:sz w:val="32"/>
          <w:szCs w:val="32"/>
        </w:rPr>
        <w:t>2036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日。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一、认罪悔罪方面：罪犯潘珍在服刑期间，能服从法院判决，认罪悔罪。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二、遵守法律法规及监规方面：罪犯潘珍在服刑期间，基本遵守法律法规及监规纪律，服从管教。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五、履行财产性判项方面：民事赔偿人民币</w:t>
      </w:r>
      <w:r>
        <w:rPr>
          <w:rFonts w:eastAsia="仿宋" w:ascii="仿宋" w:hAnsi="仿宋"/>
          <w:sz w:val="32"/>
          <w:szCs w:val="32"/>
        </w:rPr>
        <w:t>10000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已全部履行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月获表扬和物质奖励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个表扬；获得共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个表扬、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32.76%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9.82</w:t>
      </w:r>
      <w:r>
        <w:rPr>
          <w:rFonts w:ascii="仿宋" w:hAnsi="仿宋" w:eastAsia="仿宋"/>
          <w:sz w:val="32"/>
          <w:szCs w:val="32"/>
        </w:rPr>
        <w:t>分。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经审查，我院认为：罪犯潘珍符合提请减刑条件。未发现提请减刑建议不当，同意将案件交监狱长办公会审核。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综上所述，罪犯潘珍在服刑改造期间，能认真遵守监规，接受教育改造，确有悔改表现。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潘珍提请减去有期徒刑九个月，剥夺政治权利五年不变。特提请裁定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480"/>
        <w:ind w:firstLine="5760"/>
        <w:rPr/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方正小标宋简体">
    <w:charset w:val="01"/>
    <w:family w:val="roman"/>
    <w:pitch w:val="variable"/>
  </w:font>
  <w:font w:name="楷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a5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link w:val="a7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a9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4"/>
    <w:uiPriority w:val="99"/>
    <w:unhideWhenUsed/>
    <w:rsid w:val="00c915da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uiPriority w:val="99"/>
    <w:unhideWhenUsed/>
    <w:rsid w:val="00c915da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ComplimentaryClose">
    <w:name w:val="Salutation"/>
    <w:basedOn w:val="Normal"/>
    <w:link w:val="a8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aa"/>
    <w:uiPriority w:val="99"/>
    <w:unhideWhenUsed/>
    <w:qFormat/>
    <w:rsid w:val="00d57885"/>
    <w:pPr>
      <w:ind w:left="100" w:hanging="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LibreOffice/5.3.6.1$Linux_X86_64 LibreOffice_project/30$Build-1</Application>
  <Pages>1</Pages>
  <Words>33</Words>
  <Characters>190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2024-09-23T01:46:00Z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