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黔二女监无期减字第</w:t>
      </w:r>
      <w:r>
        <w:rPr>
          <w:rFonts w:eastAsia="楷体" w:ascii="楷体" w:hAnsi="楷体"/>
          <w:sz w:val="32"/>
          <w:szCs w:val="32"/>
        </w:rPr>
        <w:t>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罪犯苏艳群，女，</w:t>
      </w:r>
      <w:r>
        <w:rPr>
          <w:rFonts w:eastAsia="仿宋" w:ascii="仿宋" w:hAnsi="仿宋"/>
          <w:sz w:val="32"/>
          <w:szCs w:val="32"/>
        </w:rPr>
        <w:t>1988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日生，汉族，文盲贵州省织金县人。现在贵州省第二女子监狱服刑。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日，贵州省毕节市中级人民法院作出（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05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130</w:t>
      </w:r>
      <w:r>
        <w:rPr>
          <w:rFonts w:ascii="仿宋" w:hAnsi="仿宋" w:eastAsia="仿宋"/>
          <w:sz w:val="32"/>
          <w:szCs w:val="32"/>
        </w:rPr>
        <w:t>号刑事判决，认定苏艳群犯故意伤害罪，判处无期徒刑，剥夺政治权利终身，附带赔偿民事附带原告受害人人民币共计</w:t>
      </w:r>
      <w:r>
        <w:rPr>
          <w:rFonts w:eastAsia="仿宋" w:ascii="仿宋" w:hAnsi="仿宋"/>
          <w:sz w:val="32"/>
          <w:szCs w:val="32"/>
        </w:rPr>
        <w:t>64000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一、认罪悔罪方面：罪犯苏艳群在服刑期间，能服从法院判决，认罪悔罪。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二、遵守法律法规及监规方面：罪犯苏艳群在服刑期间，基本遵守法律法规及监规纪律，服从管教，改造前期有部分扣分情况，调入我监服刑后，经干警耐心教育，无新增违规扣分情况。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五、履行财产性判项方面：附带赔偿民事附带原告受害人人民币共计</w:t>
      </w:r>
      <w:r>
        <w:rPr>
          <w:rFonts w:eastAsia="仿宋" w:ascii="仿宋" w:hAnsi="仿宋"/>
          <w:sz w:val="32"/>
          <w:szCs w:val="32"/>
        </w:rPr>
        <w:t>64000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已部分履行</w:t>
      </w:r>
      <w:r>
        <w:rPr>
          <w:rFonts w:eastAsia="仿宋" w:ascii="仿宋" w:hAnsi="仿宋"/>
          <w:sz w:val="32"/>
          <w:szCs w:val="32"/>
        </w:rPr>
        <w:t>5000</w:t>
      </w:r>
      <w:r>
        <w:rPr>
          <w:rFonts w:ascii="仿宋" w:hAnsi="仿宋" w:eastAsia="仿宋"/>
          <w:sz w:val="32"/>
          <w:szCs w:val="32"/>
        </w:rPr>
        <w:t>元，判决书载明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87.21%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30.52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85.66%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29.98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87.4%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30.59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74.46%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26.06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日就餐时间大声喧哗。扣分</w:t>
      </w:r>
      <w:r>
        <w:rPr>
          <w:rFonts w:eastAsia="仿宋" w:ascii="仿宋" w:hAnsi="仿宋"/>
          <w:sz w:val="32"/>
          <w:szCs w:val="32"/>
        </w:rPr>
        <w:t>10.00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日与她犯发生争吵，继而动手。扣分</w:t>
      </w:r>
      <w:r>
        <w:rPr>
          <w:rFonts w:eastAsia="仿宋" w:ascii="仿宋" w:hAnsi="仿宋"/>
          <w:sz w:val="32"/>
          <w:szCs w:val="32"/>
        </w:rPr>
        <w:t>65.00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60.05%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21.01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56.66%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19.83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日不遵守教育活动纪律扣分</w:t>
      </w:r>
      <w:r>
        <w:rPr>
          <w:rFonts w:eastAsia="仿宋" w:ascii="仿宋" w:hAnsi="仿宋"/>
          <w:sz w:val="32"/>
          <w:szCs w:val="32"/>
        </w:rPr>
        <w:t>15.00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50%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17.50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45.33%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15.86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61.78%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21.62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日使用生产用小剪刀削铅笔，多次教育仍不改正扣分</w:t>
      </w:r>
      <w:r>
        <w:rPr>
          <w:rFonts w:eastAsia="仿宋" w:ascii="仿宋" w:hAnsi="仿宋"/>
          <w:sz w:val="32"/>
          <w:szCs w:val="32"/>
        </w:rPr>
        <w:t>30.00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4.58%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1.60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日未经民警允许，擅自将辣椒留在监舍扣分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日与她群发生争吵，有推搡行为扣分</w:t>
      </w:r>
      <w:r>
        <w:rPr>
          <w:rFonts w:eastAsia="仿宋" w:ascii="仿宋" w:hAnsi="仿宋"/>
          <w:sz w:val="32"/>
          <w:szCs w:val="32"/>
        </w:rPr>
        <w:t>10.00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从严情形：民事赔偿人民币</w:t>
      </w:r>
      <w:r>
        <w:rPr>
          <w:rFonts w:eastAsia="仿宋" w:ascii="仿宋" w:hAnsi="仿宋"/>
          <w:sz w:val="32"/>
          <w:szCs w:val="32"/>
        </w:rPr>
        <w:t>64000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已部分履行</w:t>
      </w:r>
      <w:r>
        <w:rPr>
          <w:rFonts w:eastAsia="仿宋" w:ascii="仿宋" w:hAnsi="仿宋"/>
          <w:sz w:val="32"/>
          <w:szCs w:val="32"/>
        </w:rPr>
        <w:t>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经审查，我院认为：罪犯苏艳群符合提请减刑条件。未发现提请减刑建议不当，同意将案件交监狱长办公会审核。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综上所述，罪犯苏艳群在服刑改造期间，能认真遵守监规，接受教育改造，确有悔改表现。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经征求检察机关意见，建议对罪犯苏艳群提请无期徒刑减为有期徒刑二十二年，剥夺政治权利减为十年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