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(2025)黔二女监假字第13号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罪犯殷金荣，女，1964年3月13日生，汉族，文盲，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贵州省铜仁市人，现在贵州省第二女子监狱服刑。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2017年12月20日，贵州省铜仁市中级人民法院作出（2017）黔06刑初80号刑事附带民事判决，认定殷金荣犯故意伤害罪，判处有期徒刑十二年（刑期自2017年6月21日起至2029年6月20日止），民事赔偿人民币20000.00元。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判决发生法律效力后2018年4月17日交付贵州省第二女子监狱服刑。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服刑期间执行刑期变动情况：2021年9月6日经贵州省贵阳市中级人民法院裁定减去有期徒刑九个月；2023年10月25日经贵州省贵阳市中级人民法院裁定减去有期徒刑八个月。刑期2017年6月21日至2028年1月20日。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一、认罪悔罪方面：罪犯殷金荣在服刑期间，能服从法院判决，认罪悔罪。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二、遵守法律法规及监规方面：罪犯殷金荣在服刑期间，认真遵守法律法规及监规纪律，服从管教。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五、履行财产性判项方面：民事赔偿人民币20000元(已全部履行)。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7月获表扬和物质奖励1次；2023年8月至2024年1月获表扬和物质奖励1次；2024年2月至2024年6月获表扬和物质奖励1次；2024年7月至2024年11月获表扬和物质奖励1次；获得共4个表扬、4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综上所述，罪犯殷金荣自上次裁定减刑以来，能认真遵守监规，接受教育改造，确有悔改表现。社区矫正机关同意适用社区矫正，监狱经综合评估预测该犯没有再犯罪危险。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第二百七十三条第二款和《中华人民共和国监狱法》第三十二条之规定，建议对罪犯殷金荣提请假释。特提请裁定。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7A1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2025-05-21T06:56:03Z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