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77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罪犯刘炳燕，女，</w:t>
      </w:r>
      <w:r>
        <w:rPr>
          <w:rFonts w:eastAsia="仿宋" w:ascii="仿宋" w:hAnsi="仿宋"/>
          <w:sz w:val="32"/>
          <w:szCs w:val="32"/>
        </w:rPr>
        <w:t>1985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日生，汉族，初中文化贵州省兴仁市人，现在贵州省第二女子监狱服刑。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日，贵州省榕江县人民法院作出（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2632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159</w:t>
      </w:r>
      <w:r>
        <w:rPr>
          <w:rFonts w:ascii="仿宋" w:hAnsi="仿宋" w:eastAsia="仿宋"/>
          <w:sz w:val="32"/>
          <w:szCs w:val="32"/>
        </w:rPr>
        <w:t>号刑事判决，认定刘炳燕犯组织卖淫罪，判处有期徒刑十一年（刑期自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212400.00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106200.00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日，贵州省黔东南苗族侗族自治州中级人民法院作出（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一、认罪悔罪方面：罪犯刘炳燕在服刑期间，能服从法院判决，认罪悔罪。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二、遵守法律法规及监规方面：罪犯刘炳燕在服刑期间，认真遵守法律法规及监规纪律，服从管教。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212400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；追缴违法所得人民币</w:t>
      </w:r>
      <w:r>
        <w:rPr>
          <w:rFonts w:eastAsia="仿宋" w:ascii="仿宋" w:hAnsi="仿宋"/>
          <w:sz w:val="32"/>
          <w:szCs w:val="32"/>
        </w:rPr>
        <w:t>106200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经审查，我院认为：罪犯刘炳燕符合提请减刑条件。未发现提请减刑建议不当，同意将案件交监狱长办公会审核。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综上所述，罪犯刘炳燕在服刑改造期间，能认真遵守监规，接受教育改造，确有悔改表现。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炳燕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