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罪犯罗海凤，女，</w:t>
      </w:r>
      <w:r>
        <w:rPr>
          <w:rFonts w:eastAsia="仿宋" w:ascii="仿宋" w:hAnsi="仿宋"/>
          <w:sz w:val="32"/>
          <w:szCs w:val="32"/>
        </w:rPr>
        <w:t>1987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日生，汉族，初中文化贵州省安龙县人，现在贵州省第二女子监狱服刑。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日，贵州省安龙县人民法院作出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2328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163</w:t>
      </w:r>
      <w:r>
        <w:rPr>
          <w:rFonts w:ascii="仿宋" w:hAnsi="仿宋" w:eastAsia="仿宋"/>
          <w:sz w:val="32"/>
          <w:szCs w:val="32"/>
        </w:rPr>
        <w:t>号刑事判决，认定罗海凤犯贩卖毒品罪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判处有期徒刑三年四个月，并处罚金人民币</w:t>
      </w:r>
      <w:r>
        <w:rPr>
          <w:rFonts w:eastAsia="仿宋" w:ascii="仿宋" w:hAnsi="仿宋"/>
          <w:sz w:val="32"/>
          <w:szCs w:val="32"/>
        </w:rPr>
        <w:t>3000</w:t>
      </w:r>
      <w:r>
        <w:rPr>
          <w:rFonts w:ascii="仿宋" w:hAnsi="仿宋" w:eastAsia="仿宋"/>
          <w:sz w:val="32"/>
          <w:szCs w:val="32"/>
        </w:rPr>
        <w:t>元，原犯运输毒品罪，判处有期徒刑十二年，并处没收财产人民币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元。决定执行有期徒刑十五年（刑期自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</w:t>
      </w:r>
      <w:r>
        <w:rPr>
          <w:rFonts w:ascii="仿宋" w:hAnsi="仿宋" w:eastAsia="仿宋"/>
          <w:sz w:val="32"/>
          <w:szCs w:val="32"/>
        </w:rPr>
        <w:t>元，没收个人财产人民币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日，贵州省黔西南布依族苗族自治州中级人民法院作出（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72</w:t>
      </w:r>
      <w:r>
        <w:rPr>
          <w:rFonts w:ascii="仿宋" w:hAnsi="仿宋" w:eastAsia="仿宋"/>
          <w:sz w:val="32"/>
          <w:szCs w:val="32"/>
        </w:rPr>
        <w:t>号刑事裁定，同意撤回上诉。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一、认罪悔罪方面：罪犯罗海凤在服刑期间，能服从法院判决，认罪悔罪。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二、遵守法律法规及监规方面：罪犯罗海凤在服刑期间，认真遵守法律法规及监规纪律，服从管教。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全部履行）；没收个人财产人民币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经审查，我院认为：罪犯罗海凤符合提请减刑条件。未发现提请减刑建议不当，同意将案件交监狱长办公会审核。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综上所述，罪犯罗海凤自上次裁定减刑以来，能认真遵守监规，接受教育改造，确有悔改表现。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海凤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