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83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罪犯陆利苹，女，</w:t>
      </w:r>
      <w:r>
        <w:rPr>
          <w:rFonts w:eastAsia="仿宋" w:ascii="仿宋" w:hAnsi="仿宋"/>
          <w:sz w:val="32"/>
          <w:szCs w:val="32"/>
        </w:rPr>
        <w:t>1986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日生，汉族，初中文化贵州省盘州市人，现在贵州省第二女子监狱服刑。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日，贵州省六盘水市中级人民法院作出（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号刑事判决，认定陆利苹犯运输毒品罪，判处有期徒刑十二年，剥夺政治权利二年，罚金人民币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）黔刑终</w:t>
      </w:r>
      <w:r>
        <w:rPr>
          <w:rFonts w:eastAsia="仿宋" w:ascii="仿宋" w:hAnsi="仿宋"/>
          <w:sz w:val="32"/>
          <w:szCs w:val="32"/>
        </w:rPr>
        <w:t>171</w:t>
      </w:r>
      <w:r>
        <w:rPr>
          <w:rFonts w:ascii="仿宋" w:hAnsi="仿宋" w:eastAsia="仿宋"/>
          <w:sz w:val="32"/>
          <w:szCs w:val="32"/>
        </w:rPr>
        <w:t>号刑事判决，认定陆利苹犯运输毒品罪，判处有期徒刑八年（刑期自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一、认罪悔罪方面：罪犯陆利苹在服刑期间，能服从法院判决，认罪悔罪。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二、遵守法律法规及监规方面：罪犯陆利苹在服刑期间，认真遵守法律法规及监规纪律，服从管教。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个表扬和物质奖励。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经审查，我院认为：罪犯陆利苹符合提请减刑条件。未发现提请减刑建议不当，同意将案件交监狱长办公会审核。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综上所述，罪犯陆利苹自上次裁定减刑以来，能认真遵守监规，接受教育改造，确有悔改表现。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陆利苹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