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86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罪犯张艳，女，</w:t>
      </w:r>
      <w:r>
        <w:rPr>
          <w:rFonts w:eastAsia="仿宋" w:ascii="仿宋" w:hAnsi="仿宋"/>
          <w:sz w:val="32"/>
          <w:szCs w:val="32"/>
        </w:rPr>
        <w:t>1968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日生，其他，文盲贵州省织金县人，现在贵州省第二女子监狱服刑。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日，贵州省玉屏侗族自治县人民法院作出</w:t>
      </w:r>
      <w:r>
        <w:rPr>
          <w:rFonts w:eastAsia="仿宋" w:ascii="仿宋" w:hAnsi="仿宋"/>
          <w:sz w:val="32"/>
          <w:szCs w:val="32"/>
        </w:rPr>
        <w:t>(2017)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0622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66</w:t>
      </w:r>
      <w:r>
        <w:rPr>
          <w:rFonts w:ascii="仿宋" w:hAnsi="仿宋" w:eastAsia="仿宋"/>
          <w:sz w:val="32"/>
          <w:szCs w:val="32"/>
        </w:rPr>
        <w:t>号刑事判决，认定张艳犯盗窃罪，判处有期徒刑十年（刑期自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100000</w:t>
      </w:r>
      <w:r>
        <w:rPr>
          <w:rFonts w:ascii="仿宋" w:hAnsi="仿宋" w:eastAsia="仿宋"/>
          <w:sz w:val="32"/>
          <w:szCs w:val="32"/>
        </w:rPr>
        <w:t>元，共同退赔人民币</w:t>
      </w:r>
      <w:r>
        <w:rPr>
          <w:rFonts w:eastAsia="仿宋" w:ascii="仿宋" w:hAnsi="仿宋"/>
          <w:sz w:val="32"/>
          <w:szCs w:val="32"/>
        </w:rPr>
        <w:t>50048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日经贵州省贵阳市中级人民法院裁定减去有期徒刑七个月。（现刑期自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一、认罪悔罪方面：罪犯张艳在服刑期间，能服从法院判决，认罪悔罪。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二、遵守法律法规及监规方面：罪犯张艳在服刑期间，基本遵守法律法规及监规纪律，服从管教。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100000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（退赃退赔人民币</w:t>
      </w:r>
      <w:r>
        <w:rPr>
          <w:rFonts w:eastAsia="仿宋" w:ascii="仿宋" w:hAnsi="仿宋"/>
          <w:sz w:val="32"/>
          <w:szCs w:val="32"/>
        </w:rPr>
        <w:t>50048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已部分缴纳</w:t>
      </w:r>
      <w:r>
        <w:rPr>
          <w:rFonts w:eastAsia="仿宋" w:ascii="仿宋" w:hAnsi="仿宋"/>
          <w:sz w:val="32"/>
          <w:szCs w:val="32"/>
        </w:rPr>
        <w:t>38622.52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5.74%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1.72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22.75%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6.82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12.05%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3.61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19.55%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5.86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9.85%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2.95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47.33%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14.19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日，该犯不遵守劳动工艺要求，打模板时尺寸错误，造成</w:t>
      </w:r>
      <w:r>
        <w:rPr>
          <w:rFonts w:eastAsia="仿宋" w:ascii="仿宋" w:hAnsi="仿宋"/>
          <w:sz w:val="32"/>
          <w:szCs w:val="32"/>
        </w:rPr>
        <w:t>300</w:t>
      </w:r>
      <w:r>
        <w:rPr>
          <w:rFonts w:ascii="仿宋" w:hAnsi="仿宋" w:eastAsia="仿宋"/>
          <w:sz w:val="32"/>
          <w:szCs w:val="32"/>
        </w:rPr>
        <w:t>余件产品适量不达标，扣分</w:t>
      </w:r>
      <w:r>
        <w:rPr>
          <w:rFonts w:eastAsia="仿宋" w:ascii="仿宋" w:hAnsi="仿宋"/>
          <w:sz w:val="32"/>
          <w:szCs w:val="32"/>
        </w:rPr>
        <w:t>2.00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02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21.81%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6.54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经审查，我院认为：罪犯张艳符合提请减刑条件。未发现提请减刑建议不当，同意将案件交监狱长办公会审核。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综上所述，罪犯张艳自上次裁定减刑以来，能认真遵守监规，接受教育改造，确有悔改表现。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张艳提请减去有期徒刑三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