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罪犯蒙召芹，女，</w:t>
      </w:r>
      <w:r>
        <w:rPr>
          <w:rFonts w:eastAsia="仿宋" w:ascii="仿宋" w:hAnsi="仿宋"/>
          <w:sz w:val="32"/>
          <w:szCs w:val="32"/>
        </w:rPr>
        <w:t>1971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日生，汉族，小学文化贵州省织金县人，现在贵州省第二女子监狱服刑。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1999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日，贵州省南明区人民法院作出</w:t>
      </w:r>
      <w:r>
        <w:rPr>
          <w:rFonts w:eastAsia="仿宋" w:ascii="仿宋" w:hAnsi="仿宋"/>
          <w:sz w:val="32"/>
          <w:szCs w:val="32"/>
        </w:rPr>
        <w:t>(1999)</w:t>
      </w:r>
      <w:r>
        <w:rPr>
          <w:rFonts w:ascii="仿宋" w:hAnsi="仿宋" w:eastAsia="仿宋"/>
          <w:sz w:val="32"/>
          <w:szCs w:val="32"/>
        </w:rPr>
        <w:t>南刑初字第</w:t>
      </w:r>
      <w:r>
        <w:rPr>
          <w:rFonts w:eastAsia="仿宋" w:ascii="仿宋" w:hAnsi="仿宋"/>
          <w:sz w:val="32"/>
          <w:szCs w:val="32"/>
        </w:rPr>
        <w:t>914</w:t>
      </w:r>
      <w:r>
        <w:rPr>
          <w:rFonts w:ascii="仿宋" w:hAnsi="仿宋" w:eastAsia="仿宋"/>
          <w:sz w:val="32"/>
          <w:szCs w:val="32"/>
        </w:rPr>
        <w:t>号刑事判决，认定蒙召芹犯贩卖毒品罪，判处有期徒刑七年（刑期自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一、认罪悔罪方面：罪犯蒙召芹在服刑期间，能服从法院判决，认罪悔罪。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二、遵守法律法规及监规方面：罪犯蒙召芹在服刑期间，基本遵守法律法规及监规纪律，服从管教。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73.1%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53.52%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16.05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64.8%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19.44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73.66%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22.09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36.62%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10.98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经审查，我院认为：罪犯蒙召芹符合提请减刑条件。未发现提请减刑建议不当，同意将案件交监狱长办公会审核。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综上所述，罪犯蒙召芹在服刑改造期间，能认真遵守监规，接受教育改造，确有悔改表现。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蒙召芹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