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罪犯彭云莲，女，</w:t>
      </w:r>
      <w:r>
        <w:rPr>
          <w:rFonts w:eastAsia="仿宋" w:ascii="仿宋" w:hAnsi="仿宋"/>
          <w:sz w:val="32"/>
          <w:szCs w:val="32"/>
        </w:rPr>
        <w:t>1965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日生，汉族，小学文化云南省曲靖市人，现在贵州省第二女子监狱服刑。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日，贵州省遵义市红花岗区人民法院作出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58</w:t>
      </w:r>
      <w:r>
        <w:rPr>
          <w:rFonts w:ascii="仿宋" w:hAnsi="仿宋" w:eastAsia="仿宋"/>
          <w:sz w:val="32"/>
          <w:szCs w:val="32"/>
        </w:rPr>
        <w:t>号刑事判决，认定彭云莲犯贩卖、运输毒品罪，判处有期徒刑十三年（刑期自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刑终第</w:t>
      </w:r>
      <w:r>
        <w:rPr>
          <w:rFonts w:eastAsia="仿宋" w:ascii="仿宋" w:hAnsi="仿宋"/>
          <w:sz w:val="32"/>
          <w:szCs w:val="32"/>
        </w:rPr>
        <w:t>366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一、认罪悔罪方面：罪犯彭云莲在服刑期间，能服从法院判决，认罪悔罪。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二、遵守法律法规及监规方面：罪犯彭云莲在服刑期间，基本遵守法律法规及监规纪律，服从管教。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日，该犯在监舍随意摆放漱口杯和肥皂，违反生活卫生标准化管理规定扣分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日该犯在非规定时间洗囚裤扣分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日，该犯系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号室罪犯，对于罪犯郝昌淋的违规违纪行为未及时报告、制止或知情不报扣分</w:t>
      </w:r>
      <w:r>
        <w:rPr>
          <w:rFonts w:eastAsia="仿宋" w:ascii="仿宋" w:hAnsi="仿宋"/>
          <w:sz w:val="32"/>
          <w:szCs w:val="32"/>
        </w:rPr>
        <w:t>1.00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经审查，我院认为：罪犯彭云莲符合提请减刑条件。未发现提请减刑建议不当，同意将案件交监狱长办公会审核。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综上所述，罪犯彭云莲自上次裁定减刑以来，能认真遵守监规，接受教育改造，确有悔改表现。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彭云莲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