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89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罪犯李龙英，女，</w:t>
      </w:r>
      <w:r>
        <w:rPr>
          <w:rFonts w:eastAsia="仿宋" w:ascii="仿宋" w:hAnsi="仿宋"/>
          <w:sz w:val="32"/>
          <w:szCs w:val="32"/>
        </w:rPr>
        <w:t>1970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日生，汉族，文盲贵州省织金县人，现在贵州省第二女子监狱服刑。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日，贵州省织金县人民法院作出</w:t>
      </w:r>
      <w:r>
        <w:rPr>
          <w:rFonts w:eastAsia="仿宋" w:ascii="仿宋" w:hAnsi="仿宋"/>
          <w:sz w:val="32"/>
          <w:szCs w:val="32"/>
        </w:rPr>
        <w:t>(2018)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0524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52</w:t>
      </w:r>
      <w:r>
        <w:rPr>
          <w:rFonts w:ascii="仿宋" w:hAnsi="仿宋" w:eastAsia="仿宋"/>
          <w:sz w:val="32"/>
          <w:szCs w:val="32"/>
        </w:rPr>
        <w:t>号刑事判决，认定李龙英犯贩卖毒品罪，判处有期徒刑十三年（刑期自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元。该犯不服，提出上诉，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日，贵州省毕节市中级人民法院作（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222</w:t>
      </w:r>
      <w:r>
        <w:rPr>
          <w:rFonts w:ascii="仿宋" w:hAnsi="仿宋" w:eastAsia="仿宋"/>
          <w:sz w:val="32"/>
          <w:szCs w:val="32"/>
        </w:rPr>
        <w:t>号判决，驳回上诉，维持原判。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日投入贵州省第二女子监狱执行。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日经贵州省贵阳市中级人民法院裁定减去有期徒刑六个月。（现刑期自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一、认罪悔罪方面：罪犯李龙英在服刑期间，能服从法院判决，认罪悔罪。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二、遵守法律法规及监规方面：罪犯李龙英在服刑期间，认真遵守法律法规及监规纪律，服从管教。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经审查，我院认为：罪犯李龙英符合提请减刑条件。未发现提请减刑建议不当，同意将案件交监狱长办公会审核。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综上所述，罪犯李龙英自上次裁定减刑以来，能认真遵守监规，接受教育改造，确有悔改表现。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龙英提请减去有期徒刑七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