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106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罪犯杨先美，女，</w:t>
      </w:r>
      <w:r>
        <w:rPr>
          <w:rFonts w:eastAsia="仿宋" w:ascii="仿宋" w:hAnsi="仿宋"/>
          <w:sz w:val="32"/>
          <w:szCs w:val="32"/>
        </w:rPr>
        <w:t>1987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日生，苗族，小学文化贵州省贞丰县人，现在贵州省第二女子监狱服刑。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日，贵州省贞丰县人民法院作出（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）黔刑初</w:t>
      </w:r>
      <w:r>
        <w:rPr>
          <w:rFonts w:eastAsia="仿宋" w:ascii="仿宋" w:hAnsi="仿宋"/>
          <w:sz w:val="32"/>
          <w:szCs w:val="32"/>
        </w:rPr>
        <w:t>127</w:t>
      </w:r>
      <w:r>
        <w:rPr>
          <w:rFonts w:ascii="仿宋" w:hAnsi="仿宋" w:eastAsia="仿宋"/>
          <w:sz w:val="32"/>
          <w:szCs w:val="32"/>
        </w:rPr>
        <w:t>号刑事判决，认定杨先美犯故意伤害罪，判处有期徒刑十三年（刑期自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日经贵州省贵阳市中级人民法院裁定减去有期徒刑九个月。（现刑期自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一、认罪悔罪方面：罪犯杨先美在服刑期间，能服从法院判决，认罪悔罪。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二、遵守法律法规及监规方面：罪犯杨先美在服刑期间，基本遵守法律法规及监规纪律，服从管教。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63.36%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19.00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日违反队列纪律。扣分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与他犯发生争吵扣分</w:t>
      </w:r>
      <w:r>
        <w:rPr>
          <w:rFonts w:eastAsia="仿宋" w:ascii="仿宋" w:hAnsi="仿宋"/>
          <w:sz w:val="32"/>
          <w:szCs w:val="32"/>
        </w:rPr>
        <w:t>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10.93%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3.27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经审查，我院认为：罪犯杨先美符合提请减刑条件。未发现提请减刑建议不当，同意将案件交监狱长办公会审核。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综上所述，罪犯杨先美自上次裁定减刑以来，能认真遵守监规，接受教育改造，确有悔改表现。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先美提请减去有期徒刑九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