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111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罪犯万东琴，女，</w:t>
      </w:r>
      <w:r>
        <w:rPr>
          <w:rFonts w:eastAsia="仿宋" w:ascii="仿宋" w:hAnsi="仿宋"/>
          <w:sz w:val="32"/>
          <w:szCs w:val="32"/>
        </w:rPr>
        <w:t>1988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日生，汉族，小学文化贵州省桐梓县人，现在贵州省第二女子监狱服刑。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日，贵州省遵义市中级人民法院作出（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）遵市法刑一初字第</w:t>
      </w:r>
      <w:r>
        <w:rPr>
          <w:rFonts w:eastAsia="仿宋" w:ascii="仿宋" w:hAnsi="仿宋"/>
          <w:sz w:val="32"/>
          <w:szCs w:val="32"/>
        </w:rPr>
        <w:t>55</w:t>
      </w:r>
      <w:r>
        <w:rPr>
          <w:rFonts w:ascii="仿宋" w:hAnsi="仿宋" w:eastAsia="仿宋"/>
          <w:sz w:val="32"/>
          <w:szCs w:val="32"/>
        </w:rPr>
        <w:t>号刑事判决，认定万东琴犯故意杀人罪，判处无期徒刑，剥夺政治权利终身。该犯不服，提出上诉。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日，贵州省高级人民法院作出（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）黔高刑三终字第</w:t>
      </w:r>
      <w:r>
        <w:rPr>
          <w:rFonts w:eastAsia="仿宋" w:ascii="仿宋" w:hAnsi="仿宋"/>
          <w:sz w:val="32"/>
          <w:szCs w:val="32"/>
        </w:rPr>
        <w:t>43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日投入贵州省第一女子监狱服刑，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日从调入贵州省第二女子监狱服刑。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日经贵州省高级人民法院裁定减去有期徒刑二十二年，剥夺政治权利十年；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日经贵州省贵阳市中级人民法院裁定减去有期徒刑八个月，剥夺政治权利十年。（现刑期自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2040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一、认罪悔罪方面：罪犯万东琴在服刑期间，能服从法院判决，认罪悔罪。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二、遵守法律法规及监规方面：罪犯万东琴在服刑期间，遵守法律法规及监规纪律，服从管教。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三、教育改造方面：能接受教育改造，按时参加思想、文化、职业技术教育，“三课”学习成绩免考。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10.05%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3.01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从严情形：无期故意杀人犯罪罪犯；无期徒刑减为有期徒刑后再减刑的罪犯。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经审查，我院认为：罪犯万东琴符合提请减刑条件。未发现提请减刑建议不当，同意将案件交监狱长办公会审核。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综上所述，罪犯万东琴自上次裁定减刑以来，能认真遵守监规，接受教育改造，确有悔改表现。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万东琴提请减去有期徒刑七个月，剥夺政治权利十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