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109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罪犯胡光毕，女，</w:t>
      </w:r>
      <w:r>
        <w:rPr>
          <w:rFonts w:eastAsia="仿宋" w:ascii="仿宋" w:hAnsi="仿宋"/>
          <w:sz w:val="32"/>
          <w:szCs w:val="32"/>
        </w:rPr>
        <w:t>1965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日生，汉族，初中文化贵州省兴义市人，现在贵州省第二女子监狱服刑。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日，贵州省兴仁市人民法院作出（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）仁刑初字第</w:t>
      </w:r>
      <w:r>
        <w:rPr>
          <w:rFonts w:eastAsia="仿宋" w:ascii="仿宋" w:hAnsi="仿宋"/>
          <w:sz w:val="32"/>
          <w:szCs w:val="32"/>
        </w:rPr>
        <w:t>161</w:t>
      </w:r>
      <w:r>
        <w:rPr>
          <w:rFonts w:ascii="仿宋" w:hAnsi="仿宋" w:eastAsia="仿宋"/>
          <w:sz w:val="32"/>
          <w:szCs w:val="32"/>
        </w:rPr>
        <w:t>号刑事判决，认定胡光毕犯贩卖毒品罪，判处有期徒刑十五年（刑期自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日止），剥夺政治权利三年，没收个人财产人民币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日经贵州省贵阳市中级人民法院裁定减去有期徒刑四个月，剥夺政治权利三年；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日经贵州省贵阳市中级人民法院裁定减去有期徒刑九个月，剥夺政治权利三年；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日经贵州省贵阳市中级人民法院裁定减去有期徒刑九个月，剥夺政治权利三年。（现刑期自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一、认罪悔罪方面：罪犯胡光毕在服刑期间，能服从法院判决，认罪悔罪。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二、遵守法律法规及监规方面：罪犯胡光毕在服刑期间，认真遵守法律法规及监规纪律，服从管教。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全部履行）；没收个人财产人民币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经审查，我院认为：罪犯胡光毕符合提请减刑条件。未发现提请减刑建议不当，同意将案件交监狱长办公会审核。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综上所述，罪犯胡光毕自上次裁定减刑以来，能认真遵守监规，接受教育改造，确有悔改表现。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胡光毕提请减去有期徒刑九个月，剥夺政治权利减为三年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