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116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罪犯黄艳，女，</w:t>
      </w:r>
      <w:r>
        <w:rPr>
          <w:rFonts w:eastAsia="仿宋" w:ascii="仿宋" w:hAnsi="仿宋"/>
          <w:sz w:val="32"/>
          <w:szCs w:val="32"/>
        </w:rPr>
        <w:t>1976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日生，汉族，小学文化贵州省普定县人，现在贵州省第二女子监狱服刑。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日，贵州省安顺市中级人民法院作出（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刑初字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号刑事判决，认定黄艳犯故意伤害罪，判处有期徒刑十二年（刑期自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一、认罪悔罪方面：罪犯黄艳在服刑期间，能服从法院判决，认罪悔罪。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二、遵守法律法规及监规方面：罪犯黄艳在服刑期间，基本遵守法律法规及监规纪律，服从管教。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10.13%</w:t>
      </w:r>
      <w:r>
        <w:rPr>
          <w:rFonts w:ascii="仿宋" w:hAnsi="仿宋" w:eastAsia="仿宋"/>
          <w:sz w:val="32"/>
          <w:szCs w:val="32"/>
        </w:rPr>
        <w:t>扣</w:t>
      </w:r>
      <w:r>
        <w:rPr>
          <w:rFonts w:eastAsia="仿宋" w:ascii="仿宋" w:hAnsi="仿宋"/>
          <w:sz w:val="32"/>
          <w:szCs w:val="32"/>
        </w:rPr>
        <w:t>3.03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日，质量不达标扣分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经审查，我院认为：罪犯黄艳符合提请减刑条件。未发现提请减刑建议不当，同意将案件交监狱长办公会审核。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综上所述，罪犯黄艳在服刑改造期间，能认真遵守监规，接受教育改造，确有悔改表现。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艳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