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125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罪犯熊芳，女，</w:t>
      </w:r>
      <w:r>
        <w:rPr>
          <w:rFonts w:eastAsia="仿宋" w:ascii="仿宋" w:hAnsi="仿宋"/>
          <w:sz w:val="32"/>
          <w:szCs w:val="32"/>
        </w:rPr>
        <w:t>1988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日生，土家族，中专文化贵州省铜仁市碧江区人，现在贵州省第二女子监狱服刑。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日，贵州省铜仁市碧江区人民法院作出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0602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363</w:t>
      </w:r>
      <w:r>
        <w:rPr>
          <w:rFonts w:ascii="仿宋" w:hAnsi="仿宋" w:eastAsia="仿宋"/>
          <w:sz w:val="32"/>
          <w:szCs w:val="32"/>
        </w:rPr>
        <w:t>号刑事判决，认定熊芳犯贩卖、运输毒品罪，判处有期徒刑七年（刑期自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10000.00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日，贵州省铜仁市中级人民法院作出</w:t>
      </w:r>
      <w:r>
        <w:rPr>
          <w:rFonts w:eastAsia="仿宋" w:ascii="仿宋" w:hAnsi="仿宋"/>
          <w:sz w:val="32"/>
          <w:szCs w:val="32"/>
        </w:rPr>
        <w:t>(2021)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日经贵州省贵阳市中级人民法院裁定减去有期徒刑五个月。（现刑期自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一、认罪悔罪方面：罪犯熊芳在服刑期间，能服从法院判决，认罪悔罪。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二、遵守法律法规及监规方面：罪犯熊芳在服刑期间，基本遵守法律法规及监规纪律，服从管教。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47.67%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14.30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8.79%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2.63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日下午在食堂就餐时，因收餐具和罪犯杨露产生矛盾，在发生口角后又有抓扯行为扣分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经审查，我院认为：罪犯熊芳符合提请减刑条件。未发现提请减刑建议不当，同意将案件交监狱长办公会审核。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综上所述，罪犯熊芳自上次裁定减刑以来，能认真遵守监规，接受教育改造，确有悔改表现。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熊芳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