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罪犯刘付，女，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日生，彝族，小学文化贵州省纳雍县人，现在贵州省第二女子监狱服刑。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）黔毕中刑初字第</w:t>
      </w:r>
      <w:r>
        <w:rPr>
          <w:rFonts w:eastAsia="仿宋" w:ascii="仿宋" w:hAnsi="仿宋"/>
          <w:sz w:val="32"/>
          <w:szCs w:val="32"/>
        </w:rPr>
        <w:t>88</w:t>
      </w:r>
      <w:r>
        <w:rPr>
          <w:rFonts w:ascii="仿宋" w:hAnsi="仿宋" w:eastAsia="仿宋"/>
          <w:sz w:val="32"/>
          <w:szCs w:val="32"/>
        </w:rPr>
        <w:t>号刑事判决，认定刘付犯贩卖毒品罪，判处有期徒刑十五年（刑期自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日止），没收个人财产人民币</w:t>
      </w:r>
      <w:r>
        <w:rPr>
          <w:rFonts w:eastAsia="仿宋" w:ascii="仿宋" w:hAnsi="仿宋"/>
          <w:sz w:val="32"/>
          <w:szCs w:val="32"/>
        </w:rPr>
        <w:t>40000.00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）黔高刑一终字第</w:t>
      </w:r>
      <w:r>
        <w:rPr>
          <w:rFonts w:eastAsia="仿宋" w:ascii="仿宋" w:hAnsi="仿宋"/>
          <w:sz w:val="32"/>
          <w:szCs w:val="32"/>
        </w:rPr>
        <w:t>359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日经贵州省贵阳市中级人民法院裁定减去有期徒刑三个月；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一、认罪悔罪方面：罪犯刘付在服刑期间，能服从法院判决，认罪悔罪。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二、遵守法律法规及监规方面：罪犯刘付在服刑期间，基本遵守法律法规及监规纪律，服从管教。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个表扬和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月因未完成劳动定额扣分</w:t>
      </w:r>
      <w:r>
        <w:rPr>
          <w:rFonts w:eastAsia="仿宋" w:ascii="仿宋" w:hAnsi="仿宋"/>
          <w:sz w:val="32"/>
          <w:szCs w:val="32"/>
        </w:rPr>
        <w:t>8.82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经审查，我院认为：罪犯刘付符合提请减刑条件。未发现提请减刑建议不当，同意将案件交监狱长办公会审核。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综上所述，罪犯刘付自上次裁定减刑以来，能认真遵守监规，接受教育改造，确有悔改表现。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付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