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罪犯卢林梅，女，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日生，穿青人，中职文化贵州省织金县人，现在贵州省第二女子监狱服刑。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128</w:t>
      </w:r>
      <w:r>
        <w:rPr>
          <w:rFonts w:ascii="仿宋" w:hAnsi="仿宋" w:eastAsia="仿宋"/>
          <w:sz w:val="32"/>
          <w:szCs w:val="32"/>
        </w:rPr>
        <w:t>号刑事判决，认定卢林梅犯贩卖毒品罪，判处有期徒刑十五年（刑期自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日止），剥夺政治权利五年，没收个人财产人民币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日经贵州省贵阳市中级人民法院裁定减去有期徒刑九个月，剥夺政治权利五年。（现刑期自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一、认罪悔罪方面：罪犯卢林梅在服刑期间，能服从法院判决，认罪悔罪。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二、遵守法律法规及监规方面：罪犯卢林梅在服刑期间，认真遵守法律法规及监规纪律，服从管教。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经审查，我院认为：罪犯卢林梅符合提请减刑条件。未发现提请减刑建议不当，同意将案件交监狱长办公会审核。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综上所述，罪犯卢林梅自上次裁定减刑以来，能认真遵守监规，接受教育改造，确有悔改表现。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卢林梅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