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罪犯周兴颖，女，</w:t>
      </w:r>
      <w:r>
        <w:rPr>
          <w:rFonts w:eastAsia="仿宋" w:ascii="仿宋" w:hAnsi="仿宋"/>
          <w:sz w:val="32"/>
          <w:szCs w:val="32"/>
        </w:rPr>
        <w:t>1993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日生，苗族，专科文化贵州省安顺市人，现在贵州省第二女子监狱服刑。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日，贵州省安顺市西秀区人民法院作出（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号之二刑事判决，认定周兴颖犯开设赌场罪，判处有期徒刑三年（刑期自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286003.03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日，贵州省安顺市中级人民法院作出（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一、认罪悔罪方面：罪犯周兴颖在服刑期间，能服从法院判决，认罪悔罪。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二、遵守法律法规及监规方面：罪犯周兴颖在服刑期间，认真遵守法律法规及监规纪律，服从管教。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未履行已执行）；追缴违法所得人民币</w:t>
      </w:r>
      <w:r>
        <w:rPr>
          <w:rFonts w:eastAsia="仿宋" w:ascii="仿宋" w:hAnsi="仿宋"/>
          <w:sz w:val="32"/>
          <w:szCs w:val="32"/>
        </w:rPr>
        <w:t>286003.03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部分执行</w:t>
      </w:r>
      <w:r>
        <w:rPr>
          <w:rFonts w:eastAsia="仿宋" w:ascii="仿宋" w:hAnsi="仿宋"/>
          <w:sz w:val="32"/>
          <w:szCs w:val="32"/>
        </w:rPr>
        <w:t>2077.9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经审查，我院认为：罪犯周兴颖符合提请减刑条件。未发现提请减刑建议不当，同意将案件交监狱长办公会审核。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综上所述，罪犯周兴颖在服刑改造期间，能认真遵守监规，接受教育改造，确有悔改表现。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兴颖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