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160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罪犯韩苇，女，</w:t>
      </w:r>
      <w:r>
        <w:rPr>
          <w:rFonts w:eastAsia="仿宋" w:ascii="仿宋" w:hAnsi="仿宋"/>
          <w:sz w:val="32"/>
          <w:szCs w:val="32"/>
        </w:rPr>
        <w:t>1988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日生，汉族，高中文化贵州省贵阳市人，现在贵州省第二女子监狱服刑。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日，贵州省贵阳市南明区人民法院作出（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558</w:t>
      </w:r>
      <w:r>
        <w:rPr>
          <w:rFonts w:ascii="仿宋" w:hAnsi="仿宋" w:eastAsia="仿宋"/>
          <w:sz w:val="32"/>
          <w:szCs w:val="32"/>
        </w:rPr>
        <w:t>号刑事判决，认定韩苇犯诈骗罪，判处有期徒刑八年十个月（刑期自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46000.00</w:t>
      </w:r>
      <w:r>
        <w:rPr>
          <w:rFonts w:ascii="仿宋" w:hAnsi="仿宋" w:eastAsia="仿宋"/>
          <w:sz w:val="32"/>
          <w:szCs w:val="32"/>
        </w:rPr>
        <w:t>元，责令共同退赔人民币</w:t>
      </w:r>
      <w:r>
        <w:rPr>
          <w:rFonts w:eastAsia="仿宋" w:ascii="仿宋" w:hAnsi="仿宋"/>
          <w:sz w:val="32"/>
          <w:szCs w:val="32"/>
        </w:rPr>
        <w:t>26500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一、认罪悔罪方面：罪犯韩苇在服刑期间，能服从法院判决，认罪悔罪。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二、遵守法律法规及监规方面：罪犯韩苇在服刑期间，基本遵守法律法规及监规纪律，服从管教。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46000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未履行已执行）；责令共同退赔人民币</w:t>
      </w:r>
      <w:r>
        <w:rPr>
          <w:rFonts w:eastAsia="仿宋" w:ascii="仿宋" w:hAnsi="仿宋"/>
          <w:sz w:val="32"/>
          <w:szCs w:val="32"/>
        </w:rPr>
        <w:t>26500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日该犯因未及时发现联组联号成员违规带生产材料回监舍，扣分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经审查，我院认为：罪犯韩苇符合提请减刑条件。未发现提请减刑建议不当，同意将案件交监狱长办公会审核。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综上所述，罪犯韩苇在服刑改造期间，能认真遵守监规，接受教育改造，确有悔改表现。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韩苇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