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罪犯陈书琴，女，</w:t>
      </w:r>
      <w:r>
        <w:rPr>
          <w:rFonts w:eastAsia="仿宋" w:ascii="仿宋" w:hAnsi="仿宋"/>
          <w:sz w:val="32"/>
          <w:szCs w:val="32"/>
        </w:rPr>
        <w:t>1974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日生，汉族，小学文化贵州省纳雍县人，现在贵州省第二女子监狱服刑。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）筑刑一初字第</w:t>
      </w:r>
      <w:r>
        <w:rPr>
          <w:rFonts w:eastAsia="仿宋" w:ascii="仿宋" w:hAnsi="仿宋"/>
          <w:sz w:val="32"/>
          <w:szCs w:val="32"/>
        </w:rPr>
        <w:t>54</w:t>
      </w:r>
      <w:r>
        <w:rPr>
          <w:rFonts w:ascii="仿宋" w:hAnsi="仿宋" w:eastAsia="仿宋"/>
          <w:sz w:val="32"/>
          <w:szCs w:val="32"/>
        </w:rPr>
        <w:t>号刑事附带民事判决，认定陈书琴犯故意杀人罪，判处无期徒刑，剥夺政治权利终身，民事赔偿人民币</w:t>
      </w:r>
      <w:r>
        <w:rPr>
          <w:rFonts w:eastAsia="仿宋" w:ascii="仿宋" w:hAnsi="仿宋"/>
          <w:sz w:val="32"/>
          <w:szCs w:val="32"/>
        </w:rPr>
        <w:t>98000.00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）黔高刑三终字第</w:t>
      </w:r>
      <w:r>
        <w:rPr>
          <w:rFonts w:eastAsia="仿宋" w:ascii="仿宋" w:hAnsi="仿宋"/>
          <w:sz w:val="32"/>
          <w:szCs w:val="32"/>
        </w:rPr>
        <w:t>252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日经贵州省高级人民法院裁定减去有期徒刑二十二年，剥夺政治权利十年；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日经贵州省贵阳市中级人民法院裁定减去有期徒刑七个月，剥夺政治权利十年。（现刑期自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2040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一、认罪悔罪方面：罪犯陈书琴在服刑期间，能服从法院判决，认罪悔罪。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二、遵守法律法规及监规方面：罪犯陈书琴在服刑期间，认真遵守法律法规及监规纪律，服从管教。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98000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从严情形：无期故意杀人犯罪罪犯，无期徒刑减为有期徒刑后再减刑的罪犯。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经审查，我院认为：罪犯陈书琴符合提请减刑条件。未发现提请减刑建议不当，同意将案件交监狱长办公会审核。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综上所述，罪犯陈书琴自上次裁定减刑以来，能认真遵守监规，接受教育改造，确有悔改表现。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书琴提请减去有期徒刑七个月，剥夺政治权利十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