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贵州省第二女子监狱</w:t>
      </w:r>
    </w:p>
    <w:p>
      <w:pPr>
        <w:spacing w:line="560" w:lineRule="exact"/>
        <w:ind w:right="141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/>
          <w:b/>
          <w:bCs/>
          <w:sz w:val="44"/>
          <w:szCs w:val="44"/>
        </w:rPr>
        <w:t>提请假释建议书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(2025)黔二女监假字第26号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罪犯杨启宇，女，1997年2月26日生，汉族，高中文化，贵州省威宁彝族回族苗族自治县人，现在贵州省第二女子监狱服刑。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9月10日，贵州省威宁彝族回族苗族自治县人民法院作出(2023)黔0526刑初442号刑事判决，认定杨启宇犯掩饰、隐瞒犯罪所得罪，判处有期徒刑三年，刑期自2023年8月18日起至2026年8月17日止，罚金人民币20000元，追缴违法所得人民币10000元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判决发生法律效力后2023年10月26日交付执行，2023年12月1日从贵州省第一女子监狱调入贵州省第二女子监狱服刑。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一、认罪悔罪方面：罪犯杨启宇在服刑期间，能服从法院判决，认罪悔罪。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二、遵守法律法规及监规方面：罪犯杨启宇在服刑期间，认真遵守法律法规及监规纪律，服从管教。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五、履行财产性判项方面：罚金人民币20000元和追缴违法所得人民币10000元已全部履行。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六、考核奖励情况：2023年10月至2024年6月获1个表扬；2024年7月至2024年11月获1个表扬；共获得2个表扬。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检察机关审查意见:同意假释。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综上所述，罪犯杨启宇在服刑改造期间，能认真遵守监规，接受教育改造，确有悔改表现。社区矫正机关同意适用社区矫正，监狱经综合评估预测该犯没有再犯罪危险。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560" w:lineRule="exact"/>
        <w:ind w:firstLine="64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第二百七十三条第二款和《中华人民共和国监狱法》第三十二条之规定，建议对罪犯杨启宇提请假释。特提请裁定。</w:t>
      </w:r>
    </w:p>
    <w:p>
      <w:pPr>
        <w:pStyle w:val="3"/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pStyle w:val="3"/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贵州省贵阳市中级人民法院</w:t>
      </w:r>
    </w:p>
    <w:p>
      <w:pPr>
        <w:spacing w:line="5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tabs>
          <w:tab w:val="left" w:pos="5123"/>
        </w:tabs>
        <w:spacing w:line="560" w:lineRule="exac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</w:t>
      </w: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spacing w:line="560" w:lineRule="exact"/>
        <w:jc w:val="center"/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2025年8月5日</w:t>
      </w:r>
    </w:p>
    <w:p>
      <w:pPr>
        <w:spacing w:line="560" w:lineRule="exact"/>
      </w:pPr>
    </w:p>
    <w:sectPr>
      <w:pgSz w:w="11906" w:h="16838"/>
      <w:pgMar w:top="2098" w:right="1474" w:bottom="1985" w:left="1588" w:header="0" w:footer="0" w:gutter="0"/>
      <w:paperSrc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EE1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Paragraphs>1</Paragraphs>
  <TotalTime>0</TotalTime>
  <ScaleCrop>false</ScaleCrop>
  <LinksUpToDate>false</LinksUpToDate>
  <CharactersWithSpaces>224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2025-08-20T06:42:22Z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