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罪犯万金平，女，1976年1月15日生，苗族，小学文化，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贵州省三穗县人，现在贵州省第二女子监狱服刑。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28日，贵州省三穗县人民法院作出(2023)黔2624刑初第82号刑事判决，认定万金平犯介绍卖淫罪，判处有期徒刑三年六个月，刑期自2023年3月15日起至2026年9月14日止，罚金人民币35000元，追缴赃款人民币16000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判决发生法律效力后2023年10月24日交付执行，2023年10月24日从贵州省黔东南州凯里市看守所调入贵州省第二女子监狱服刑。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一、认罪悔罪方面：罪犯万金平在服刑期间，能服从法院判决，认罪悔罪。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二、遵守法律法规及监规方面：罪犯万金平在服刑期间，基本遵守法律法规及监规纪律，服从管教。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五、履行财产性判项方面：罚金人民币35000元、追缴违法所得人民币16000元已全部履行。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六、考核奖励情况：2023年10月至2024年6月获物质奖励1次；2024年7月至2024年12月获表扬和物质奖励1次；共获得1个表扬、2个物质奖励。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扣分及违规情况：2024年4月30日未完成劳动定额扣分3.40分。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综上所述，罪犯万金平在服刑改造期间，能认真遵守监规，接受教育改造，确有悔改表现。社区矫正机关同意适用社区矫正，监狱经综合评估预测该犯没有再犯罪危险。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第二百七十三条第二款和《中华人民共和国监狱法》第三十二条之规定，建议对罪犯万金平提请假释。特提请裁定。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6431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34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2025-08-20T06:46:35Z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