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罪犯魏小彤，女，1982年12月4日生，汉族，本科文化，四川省乐山市人，现在贵州省第二女子监狱服刑。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7月20日，贵州省都匀市人民法院作出（2022）黔2701刑初117号刑事判决，认定魏小彤犯组织、领导传销活动罪，判处有期徒刑七年，刑期自2021年9月15日起至2028年9月14日止，罚金人民币700000元。该犯不服，提出上诉。2023年10月13日，贵州省黔西南布依族苗族自治州中级人民法院作出（2023）黔27刑终148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判决发生法律效力后2023年11月24日交付执行，2023年11月24日从贵州省黔南州女子看守所调入贵州省第二女子监狱服刑。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一、认罪悔罪方面：罪犯魏小彤在服刑期间，能服从法院判决，认罪悔罪。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二、遵守法律法规及监规方面：罪犯魏小彤在服刑期间，认真遵守法律法规及监规纪律，服从管教。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五、履行财产性判项方面：罚金人民币700000元已全部履行。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六、考核奖励情况：2023年11月至2024年7月获1个表扬；2024年8月至2024年12月获1个表扬；共获得2个表扬。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综上所述，罪犯魏小彤在服刑改造期间，能认真遵守监规，接受教育改造，确有悔改表现。社区矫正机关同意适用社区矫正，监狱经综合评估预测该犯没有再犯罪危险。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第二百七十三条第二款和《中华人民共和国监狱法》第三十二条之规定，建议对罪犯魏小彤提请假释。特提请裁定。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 w:firstLineChars="170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E86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0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2025-08-20T06:48:58Z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