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罪犯唐江红，女，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日生，汉族，初中文化‌贵州省水城县人，现在贵州省第二女子监狱服刑。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号刑事判决，认定唐江红犯贩卖毒品罪，判处有期徒刑十五年十个月，剥夺政治权利五年，并处没收个人财产人民币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元。本人不服，提出上诉，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黔刑终</w:t>
      </w:r>
      <w:r>
        <w:rPr>
          <w:rFonts w:eastAsia="仿宋_GB2312" w:ascii="仿宋_GB2312" w:hAnsi="仿宋_GB2312"/>
          <w:sz w:val="32"/>
          <w:szCs w:val="32"/>
        </w:rPr>
        <w:t>329</w:t>
      </w:r>
      <w:r>
        <w:rPr>
          <w:rFonts w:ascii="仿宋_GB2312" w:hAnsi="仿宋_GB2312" w:eastAsia="仿宋_GB2312"/>
          <w:sz w:val="32"/>
          <w:szCs w:val="32"/>
        </w:rPr>
        <w:t>号刑事判决，认定唐江红犯贩卖毒品罪，判处有期徒刑十三年六个月（刑期自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日止），剥夺政治权利三年，并处没收个人财产人民币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日经贵州省贵阳市中级人民法院裁定减去有期徒刑七个月，剥夺政治权利三年；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一、认罪悔罪方面：罪犯唐江红在服刑期间，能服从法院判决，认罪悔罪。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二、遵守法律法规及监规方面：罪犯唐江红在服刑期间，认真遵守法律法规及监规纪律，服从管教。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日，该犯在生产现场，未经干警允许，在非规定时间上厕所。扣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经审查，我院认为：该犯曾于</w:t>
      </w:r>
      <w:r>
        <w:rPr>
          <w:rFonts w:eastAsia="仿宋_GB2312" w:ascii="仿宋_GB2312" w:hAnsi="仿宋_GB2312"/>
          <w:sz w:val="32"/>
          <w:u w:val="none" w:color="FFFFFF"/>
        </w:rPr>
        <w:t>2005</w:t>
      </w:r>
      <w:r>
        <w:rPr>
          <w:rFonts w:ascii="仿宋_GB2312" w:hAnsi="仿宋_GB2312" w:eastAsia="仿宋_GB2312"/>
          <w:sz w:val="32"/>
          <w:u w:val="none" w:color="FFFFFF"/>
        </w:rPr>
        <w:t>年、</w:t>
      </w:r>
      <w:r>
        <w:rPr>
          <w:rFonts w:eastAsia="仿宋_GB2312" w:ascii="仿宋_GB2312" w:hAnsi="仿宋_GB2312"/>
          <w:sz w:val="32"/>
          <w:u w:val="none" w:color="FFFFFF"/>
        </w:rPr>
        <w:t>2006</w:t>
      </w:r>
      <w:r>
        <w:rPr>
          <w:rFonts w:ascii="仿宋_GB2312" w:hAnsi="仿宋_GB2312" w:eastAsia="仿宋_GB2312"/>
          <w:sz w:val="32"/>
          <w:u w:val="none" w:color="FFFFFF"/>
        </w:rPr>
        <w:t>年因吸食毒品被强制戒毒和劳动教养，主观恶性较深，社会危害性较大。建议从严把握对该犯提请减刑七个月。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综上所述，罪犯唐江红自上次裁定减刑以来，能认真遵守监规，接受教育改造，确有悔改表现。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江红提请减去有期徒刑七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