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187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罪犯肖培珍，女，</w:t>
      </w:r>
      <w:r>
        <w:rPr>
          <w:rFonts w:eastAsia="仿宋_GB2312" w:ascii="仿宋_GB2312" w:hAnsi="仿宋_GB2312"/>
          <w:sz w:val="32"/>
          <w:szCs w:val="32"/>
        </w:rPr>
        <w:t>1962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日生，汉族，小学文化贵州省镇远县人，现在贵州省第二女子监狱服刑。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日，贵州省黔东南苗族侗族自治州中级人民法院作出</w:t>
      </w:r>
      <w:r>
        <w:rPr>
          <w:rFonts w:eastAsia="仿宋_GB2312" w:ascii="仿宋_GB2312" w:hAnsi="仿宋_GB2312"/>
          <w:sz w:val="32"/>
          <w:szCs w:val="32"/>
        </w:rPr>
        <w:t>(2021)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50</w:t>
      </w:r>
      <w:r>
        <w:rPr>
          <w:rFonts w:ascii="仿宋_GB2312" w:hAnsi="仿宋_GB2312" w:eastAsia="仿宋_GB2312"/>
          <w:sz w:val="32"/>
          <w:szCs w:val="32"/>
        </w:rPr>
        <w:t>号刑事判决，认定肖培珍犯故意杀人罪，判处有期徒刑十三年（刑期自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日止），剥夺政治权利三年。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一、认罪悔罪方面：罪犯肖培珍在服刑期间，能服从法院判决，认罪悔罪。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二、遵守法律法规及监规方面：罪犯肖培珍在服刑期间，基本遵守法律法规及监规纪律，服从管教。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5.17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3.15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7.96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3.72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4.17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10.73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15.90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4.56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13.34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3.68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0.90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8.75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月未完成劳动定额，扣分</w:t>
      </w:r>
      <w:r>
        <w:rPr>
          <w:rFonts w:eastAsia="仿宋_GB2312" w:ascii="仿宋_GB2312" w:hAnsi="仿宋_GB2312"/>
          <w:sz w:val="32"/>
          <w:szCs w:val="32"/>
        </w:rPr>
        <w:t>5.08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5.12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4.77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从严情形：十年以上故意杀人犯罪罪犯。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经审查，我院认为：罪犯肖培珍符合提请减刑条件。未发现提请减刑建议不当，同意将案件交监狱长办公会审核。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综上所述，罪犯肖培珍在服刑改造期间，能认真遵守监规，接受教育改造，确有悔改表现。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肖培珍提请减去有期徒刑五个月，剥夺政治权利三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