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罪犯赵应珍，女，</w:t>
      </w:r>
      <w:r>
        <w:rPr>
          <w:rFonts w:eastAsia="仿宋_GB2312" w:ascii="仿宋_GB2312" w:hAnsi="仿宋_GB2312"/>
          <w:sz w:val="32"/>
          <w:szCs w:val="32"/>
        </w:rPr>
        <w:t>1968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日生，汉族，初中文化贵州省毕节市七星关区人，现在贵州省第二女子监狱服刑。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55</w:t>
      </w:r>
      <w:r>
        <w:rPr>
          <w:rFonts w:ascii="仿宋_GB2312" w:hAnsi="仿宋_GB2312" w:eastAsia="仿宋_GB2312"/>
          <w:sz w:val="32"/>
          <w:szCs w:val="32"/>
        </w:rPr>
        <w:t>号刑事附带民事判决，认定赵应珍犯故意伤害罪，判处有期徒刑十年（刑期自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日止），民事赔偿人民币</w:t>
      </w:r>
      <w:r>
        <w:rPr>
          <w:rFonts w:eastAsia="仿宋_GB2312" w:ascii="仿宋_GB2312" w:hAnsi="仿宋_GB2312"/>
          <w:sz w:val="32"/>
          <w:szCs w:val="32"/>
        </w:rPr>
        <w:t>80025.15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一、认罪悔罪方面：罪犯赵应珍在服刑期间，能服从法院判决，认罪悔罪。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二、遵守法律法规及监规方面：罪犯赵应珍在服刑期间，认真遵守法律法规及监规纪律，服从管教。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80025.15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已部分履行</w:t>
      </w:r>
      <w:r>
        <w:rPr>
          <w:rFonts w:eastAsia="仿宋_GB2312" w:ascii="仿宋_GB2312" w:hAnsi="仿宋_GB2312"/>
          <w:sz w:val="32"/>
          <w:szCs w:val="32"/>
        </w:rPr>
        <w:t>3500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经审查，我院认为：罪犯赵应珍符合提请减刑条件。未发现提请减刑建议不当，同意将案件交监狱长办公会审核。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综上所述，罪犯赵应珍自上次裁定减刑以来，能认真遵守监规，接受教育改造，确有悔改表现。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应珍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