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罪犯沈买芬，女，</w:t>
      </w:r>
      <w:r>
        <w:rPr>
          <w:rFonts w:eastAsia="仿宋_GB2312" w:ascii="仿宋_GB2312" w:hAnsi="仿宋_GB2312"/>
          <w:sz w:val="32"/>
          <w:szCs w:val="32"/>
        </w:rPr>
        <w:t>1989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日生，汉族，文盲‌贵州省水城县人，现在贵州省第二女子监狱服刑。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日，‌贵州省水城县人民法院作出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黔水刑初字第</w:t>
      </w:r>
      <w:r>
        <w:rPr>
          <w:rFonts w:eastAsia="仿宋_GB2312" w:ascii="仿宋_GB2312" w:hAnsi="仿宋_GB2312"/>
          <w:sz w:val="32"/>
          <w:szCs w:val="32"/>
        </w:rPr>
        <w:t>409</w:t>
      </w:r>
      <w:r>
        <w:rPr>
          <w:rFonts w:ascii="仿宋_GB2312" w:hAnsi="仿宋_GB2312" w:eastAsia="仿宋_GB2312"/>
          <w:sz w:val="32"/>
          <w:szCs w:val="32"/>
        </w:rPr>
        <w:t>号刑事判决，认定沈买芬犯贩卖毒品罪，判处有期徒刑十三年（刑期自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日止），剥夺政治权利一年，没收个人财产人民币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日经贵州省贵阳市中级人民法院裁定减去有期徒刑四个月，剥夺政治权利一年；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日经贵州省贵阳市中级人民法院裁定减去有期徒刑九个月，剥夺政治权利一年；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日经贵州省贵阳市中级人民法院裁定减去有期徒刑九个月，剥夺政治权利一年。（现刑期自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一、认罪悔罪方面：罪犯沈买芬在服刑期间，能服从法院判决，认罪悔罪。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二、遵守法律法规及监规方面：罪犯沈买芬在服刑期间，认真遵守法律法规及监规纪律，服从管教。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经审查，我院认为：罪犯沈买芬符合提请减刑条件。未发现提请减刑建议不当，同意将案件交监狱长办公会审核。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综上所述，罪犯沈买芬自上次裁定减刑以来，能认真遵守监规，接受教育改造，确有悔改表现。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沈买芬提请减去有期徒刑九个月，剥夺政治权利一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