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210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罪犯晏和群，女，</w:t>
      </w:r>
      <w:r>
        <w:rPr>
          <w:rFonts w:eastAsia="仿宋_GB2312" w:ascii="仿宋_GB2312" w:hAnsi="仿宋_GB2312"/>
          <w:sz w:val="32"/>
          <w:szCs w:val="32"/>
        </w:rPr>
        <w:t>1974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日生，汉族，文盲‌贵州省水城县人，现在贵州省第二女子监狱服刑。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日，‌贵州省水城县人民法院作出（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）黔水刑初字第</w:t>
      </w:r>
      <w:r>
        <w:rPr>
          <w:rFonts w:eastAsia="仿宋_GB2312" w:ascii="仿宋_GB2312" w:hAnsi="仿宋_GB2312"/>
          <w:sz w:val="32"/>
          <w:szCs w:val="32"/>
        </w:rPr>
        <w:t>357</w:t>
      </w:r>
      <w:r>
        <w:rPr>
          <w:rFonts w:ascii="仿宋_GB2312" w:hAnsi="仿宋_GB2312" w:eastAsia="仿宋_GB2312"/>
          <w:sz w:val="32"/>
          <w:szCs w:val="32"/>
        </w:rPr>
        <w:t>号刑事判决，认定晏和群犯贩卖毒品罪，判处有期徒刑十五年（刑期自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日止），剥夺政治权利三年，没收个人财产人民币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日经贵州省贵阳市中级人民法院裁定减去有期徒刑三个月，剥夺政治权利三年；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一、认罪悔罪方面：罪犯晏和群在服刑期间，能服从法院判决，认罪悔罪。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二、遵守法律法规及监规方面：罪犯晏和群在服刑期间，认真遵守法律法规及监规纪律，服从管教。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经审查，我院认为：罪犯晏和群符合提请减刑条件。未发现提请减刑建议不当，同意将案件交监狱长办公会审核。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综上所述，罪犯晏和群自上次裁定减刑以来，能认真遵守监规，接受教育改造，确有悔改表现。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晏和群提请减去有期徒刑九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