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214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罪犯欧来琴，女，</w:t>
      </w:r>
      <w:r>
        <w:rPr>
          <w:rFonts w:eastAsia="仿宋_GB2312" w:ascii="仿宋_GB2312" w:hAnsi="仿宋_GB2312"/>
          <w:sz w:val="32"/>
          <w:szCs w:val="32"/>
        </w:rPr>
        <w:t>1987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日生，汉族，初中文化云南省镇雄县人，现在贵州省第二女子监狱服刑。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日，贵州省毕节市七星关区人民法院作出</w:t>
      </w:r>
      <w:r>
        <w:rPr>
          <w:rFonts w:eastAsia="仿宋_GB2312" w:ascii="仿宋_GB2312" w:hAnsi="仿宋_GB2312"/>
          <w:sz w:val="32"/>
          <w:szCs w:val="32"/>
        </w:rPr>
        <w:t>(2019)</w:t>
      </w:r>
      <w:r>
        <w:rPr>
          <w:rFonts w:ascii="仿宋_GB2312" w:hAnsi="仿宋_GB2312" w:eastAsia="仿宋_GB2312"/>
          <w:sz w:val="32"/>
          <w:szCs w:val="32"/>
        </w:rPr>
        <w:t>黔</w:t>
      </w:r>
      <w:r>
        <w:rPr>
          <w:rFonts w:eastAsia="仿宋_GB2312" w:ascii="仿宋_GB2312" w:hAnsi="仿宋_GB2312"/>
          <w:sz w:val="32"/>
          <w:szCs w:val="32"/>
        </w:rPr>
        <w:t>0502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419</w:t>
      </w:r>
      <w:r>
        <w:rPr>
          <w:rFonts w:ascii="仿宋_GB2312" w:hAnsi="仿宋_GB2312" w:eastAsia="仿宋_GB2312"/>
          <w:sz w:val="32"/>
          <w:szCs w:val="32"/>
        </w:rPr>
        <w:t>号刑事判决，认定欧来琴犯运输毒品罪</w:t>
      </w:r>
      <w:r>
        <w:rPr>
          <w:rFonts w:eastAsia="仿宋_GB2312" w:ascii="仿宋_GB2312" w:hAnsi="仿宋_GB2312"/>
          <w:sz w:val="32"/>
          <w:szCs w:val="32"/>
        </w:rPr>
        <w:t>,</w:t>
      </w:r>
      <w:r>
        <w:rPr>
          <w:rFonts w:ascii="仿宋_GB2312" w:hAnsi="仿宋_GB2312" w:eastAsia="仿宋_GB2312"/>
          <w:sz w:val="32"/>
          <w:szCs w:val="32"/>
        </w:rPr>
        <w:t>判处有期徒刑十五年，剥夺政治权利三年，并处没收个人财产人民币</w:t>
      </w:r>
      <w:r>
        <w:rPr>
          <w:rFonts w:eastAsia="仿宋_GB2312" w:ascii="仿宋_GB2312" w:hAnsi="仿宋_GB2312"/>
          <w:sz w:val="32"/>
          <w:szCs w:val="32"/>
        </w:rPr>
        <w:t>20000</w:t>
      </w:r>
      <w:r>
        <w:rPr>
          <w:rFonts w:ascii="仿宋_GB2312" w:hAnsi="仿宋_GB2312" w:eastAsia="仿宋_GB2312"/>
          <w:sz w:val="32"/>
          <w:szCs w:val="32"/>
        </w:rPr>
        <w:t>元。加原犯贩卖毒品罪，判处有期徒刑十个月，并处罚金</w:t>
      </w:r>
      <w:r>
        <w:rPr>
          <w:rFonts w:eastAsia="仿宋_GB2312" w:ascii="仿宋_GB2312" w:hAnsi="仿宋_GB2312"/>
          <w:sz w:val="32"/>
          <w:szCs w:val="32"/>
        </w:rPr>
        <w:t>2000</w:t>
      </w:r>
      <w:r>
        <w:rPr>
          <w:rFonts w:ascii="仿宋_GB2312" w:hAnsi="仿宋_GB2312" w:eastAsia="仿宋_GB2312"/>
          <w:sz w:val="32"/>
          <w:szCs w:val="32"/>
        </w:rPr>
        <w:t>元。决定执行有期徒刑十五年四个月（刑期自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日止），剥夺政治权利三年，罚金人民币</w:t>
      </w:r>
      <w:r>
        <w:rPr>
          <w:rFonts w:eastAsia="仿宋_GB2312" w:ascii="仿宋_GB2312" w:hAnsi="仿宋_GB2312"/>
          <w:sz w:val="32"/>
          <w:szCs w:val="32"/>
        </w:rPr>
        <w:t>2000.00</w:t>
      </w:r>
      <w:r>
        <w:rPr>
          <w:rFonts w:ascii="仿宋_GB2312" w:hAnsi="仿宋_GB2312" w:eastAsia="仿宋_GB2312"/>
          <w:sz w:val="32"/>
          <w:szCs w:val="32"/>
        </w:rPr>
        <w:t>元，没收个人财产人民币</w:t>
      </w:r>
      <w:r>
        <w:rPr>
          <w:rFonts w:eastAsia="仿宋_GB2312" w:ascii="仿宋_GB2312" w:hAnsi="仿宋_GB2312"/>
          <w:sz w:val="32"/>
          <w:szCs w:val="32"/>
        </w:rPr>
        <w:t>20000.00</w:t>
      </w:r>
      <w:r>
        <w:rPr>
          <w:rFonts w:ascii="仿宋_GB2312" w:hAnsi="仿宋_GB2312" w:eastAsia="仿宋_GB2312"/>
          <w:sz w:val="32"/>
          <w:szCs w:val="32"/>
        </w:rPr>
        <w:t>元。该犯不服，提出上诉。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日，贵州省毕节市中级人民法院作出</w:t>
      </w:r>
      <w:r>
        <w:rPr>
          <w:rFonts w:eastAsia="仿宋_GB2312" w:ascii="仿宋_GB2312" w:hAnsi="仿宋_GB2312"/>
          <w:sz w:val="32"/>
          <w:szCs w:val="32"/>
        </w:rPr>
        <w:t>(2020)</w:t>
      </w:r>
      <w:r>
        <w:rPr>
          <w:rFonts w:ascii="仿宋_GB2312" w:hAnsi="仿宋_GB2312" w:eastAsia="仿宋_GB2312"/>
          <w:sz w:val="32"/>
          <w:szCs w:val="32"/>
        </w:rPr>
        <w:t>黔</w:t>
      </w:r>
      <w:r>
        <w:rPr>
          <w:rFonts w:eastAsia="仿宋_GB2312" w:ascii="仿宋_GB2312" w:hAnsi="仿宋_GB2312"/>
          <w:sz w:val="32"/>
          <w:szCs w:val="32"/>
        </w:rPr>
        <w:t>05</w:t>
      </w:r>
      <w:r>
        <w:rPr>
          <w:rFonts w:ascii="仿宋_GB2312" w:hAnsi="仿宋_GB2312" w:eastAsia="仿宋_GB2312"/>
          <w:sz w:val="32"/>
          <w:szCs w:val="32"/>
        </w:rPr>
        <w:t>刑终</w:t>
      </w:r>
      <w:r>
        <w:rPr>
          <w:rFonts w:eastAsia="仿宋_GB2312" w:ascii="仿宋_GB2312" w:hAnsi="仿宋_GB2312"/>
          <w:sz w:val="32"/>
          <w:szCs w:val="32"/>
        </w:rPr>
        <w:t>349</w:t>
      </w:r>
      <w:r>
        <w:rPr>
          <w:rFonts w:ascii="仿宋_GB2312" w:hAnsi="仿宋_GB2312" w:eastAsia="仿宋_GB2312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20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日经贵州省贵阳市中级人民法院裁定减去有期徒刑八个月，剥夺政治权利三年。（现刑期自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一、认罪悔罪方面：罪犯欧来琴在服刑期间，能服从法院判决，认罪悔罪。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二、遵守法律法规及监规方面：罪犯欧来琴在服刑期间，认真遵守法律法规及监规纪律，服从管教。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2000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；没收个人财产人民币</w:t>
      </w:r>
      <w:r>
        <w:rPr>
          <w:rFonts w:eastAsia="仿宋_GB2312" w:ascii="仿宋_GB2312" w:hAnsi="仿宋_GB2312"/>
          <w:sz w:val="32"/>
          <w:szCs w:val="32"/>
        </w:rPr>
        <w:t>20000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已全部执行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次；共获得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个表扬和物质奖励。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经审查，我院认为：罪犯欧来琴符合提请减刑条件。未发现提请减刑建议不当，同意将案件交监狱长办公会审核。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综上所述，罪犯欧来琴自上次裁定减刑以来，能认真遵守监规，接受教育改造，确有悔改表现。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欧来琴提请减去有期徒刑九个月，剥夺政治权利三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