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222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罪犯吴玉平，女，</w:t>
      </w:r>
      <w:r>
        <w:rPr>
          <w:rFonts w:eastAsia="仿宋_GB2312" w:ascii="仿宋_GB2312" w:hAnsi="仿宋_GB2312"/>
          <w:sz w:val="32"/>
          <w:szCs w:val="32"/>
        </w:rPr>
        <w:t>1990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日生，汉族，小学文化贵州省毕节市人，现在贵州省第二女子监狱服刑。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）黔毕中刑初字第</w:t>
      </w:r>
      <w:r>
        <w:rPr>
          <w:rFonts w:eastAsia="仿宋_GB2312" w:ascii="仿宋_GB2312" w:hAnsi="仿宋_GB2312"/>
          <w:sz w:val="32"/>
          <w:szCs w:val="32"/>
        </w:rPr>
        <w:t>71</w:t>
      </w:r>
      <w:r>
        <w:rPr>
          <w:rFonts w:ascii="仿宋_GB2312" w:hAnsi="仿宋_GB2312" w:eastAsia="仿宋_GB2312"/>
          <w:sz w:val="32"/>
          <w:szCs w:val="32"/>
        </w:rPr>
        <w:t>号刑事判决，认定吴玉平犯故意杀人罪，判处有期徒刑十五年（刑期自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日止），剥夺政治权利三年，民事赔偿人民币</w:t>
      </w:r>
      <w:r>
        <w:rPr>
          <w:rFonts w:eastAsia="仿宋_GB2312" w:ascii="仿宋_GB2312" w:hAnsi="仿宋_GB2312"/>
          <w:sz w:val="32"/>
          <w:szCs w:val="32"/>
        </w:rPr>
        <w:t>40000.00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日，贵州省高级人民法院作出（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）黔高刑一终字第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日经贵州省贵阳市中级人民法院裁定减去有期徒刑四个月，剥夺政治权利三年；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日经贵州省贵阳市中级人民法院裁定减去有期徒刑六个月，剥夺政治权利三年；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日经贵州省贵阳市中级人民法院裁定减去有期徒刑七个月，剥夺政治权利三年。（现刑期自</w:t>
      </w: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一、认罪悔罪方面：罪犯吴玉平在服刑期间，能服从法院判决，认罪悔罪。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二、遵守法律法规及监规方面：罪犯吴玉平在服刑期间，基本遵守法律法规及监规纪律，服从管教。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五、履行财产性判项方面：民事赔偿人民币</w:t>
      </w:r>
      <w:r>
        <w:rPr>
          <w:rFonts w:eastAsia="仿宋_GB2312" w:ascii="仿宋_GB2312" w:hAnsi="仿宋_GB2312"/>
          <w:sz w:val="32"/>
          <w:szCs w:val="32"/>
        </w:rPr>
        <w:t>40000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已全部履行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日，该犯不认责核查成品数量，导致线上上报成品数据错误扣分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经审查，我院认为：罪犯吴玉平符合提请减刑条件。未发现提请减刑建议不当，同意将案件交监狱长办公会审核。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综上所述，罪犯吴玉平自上次裁定减刑以来，能认真遵守监规，接受教育改造，确有悔改表现。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吴玉平提请减去有期徒刑八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