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242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罪犯冯再荣，女，</w:t>
      </w:r>
      <w:r>
        <w:rPr>
          <w:rFonts w:eastAsia="仿宋_GB2312" w:ascii="仿宋_GB2312" w:hAnsi="仿宋_GB2312"/>
          <w:sz w:val="32"/>
          <w:szCs w:val="32"/>
        </w:rPr>
        <w:t>1973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日生，汉族，小学文化贵州省湄潭县人，现在贵州省第二女子监狱服刑。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日，贵州省遵义市中级人民法院作出</w:t>
      </w:r>
      <w:r>
        <w:rPr>
          <w:rFonts w:eastAsia="仿宋_GB2312" w:ascii="仿宋_GB2312" w:hAnsi="仿宋_GB2312"/>
          <w:sz w:val="32"/>
          <w:szCs w:val="32"/>
        </w:rPr>
        <w:t>(2014</w:t>
      </w:r>
      <w:r>
        <w:rPr>
          <w:rFonts w:ascii="仿宋_GB2312" w:hAnsi="仿宋_GB2312" w:eastAsia="仿宋_GB2312"/>
          <w:sz w:val="32"/>
          <w:szCs w:val="32"/>
        </w:rPr>
        <w:t>）遵市法刑一初字第</w:t>
      </w:r>
      <w:r>
        <w:rPr>
          <w:rFonts w:eastAsia="仿宋_GB2312" w:ascii="仿宋_GB2312" w:hAnsi="仿宋_GB2312"/>
          <w:sz w:val="32"/>
          <w:szCs w:val="32"/>
        </w:rPr>
        <w:t xml:space="preserve">65 </w:t>
      </w:r>
      <w:r>
        <w:rPr>
          <w:rFonts w:ascii="仿宋_GB2312" w:hAnsi="仿宋_GB2312" w:eastAsia="仿宋_GB2312"/>
          <w:sz w:val="32"/>
          <w:szCs w:val="32"/>
        </w:rPr>
        <w:t>号刑事判决，认定冯再荣犯故意杀人罪，判处有期徒刑十五年（刑期自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日止），剥夺政治权利五年。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13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日经贵州省贵阳市中级人民法院裁定减去有期徒刑六个月，剥夺政治权利五年；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日经贵州省贵阳市中级人民法院裁定减去有期徒刑八个月，剥夺政治权利五年；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日经贵州省贵阳市中级人民法院裁定减去有期徒刑六个月，剥夺政治权利五年；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日经贵州省贵阳市中级人民法院裁定减去有期徒刑八个月，剥夺政治权利五年。（现刑期自</w:t>
      </w:r>
      <w:r>
        <w:rPr>
          <w:rFonts w:eastAsia="仿宋_GB2312" w:ascii="仿宋_GB2312" w:hAnsi="仿宋_GB2312"/>
          <w:sz w:val="32"/>
          <w:szCs w:val="32"/>
        </w:rPr>
        <w:t>2013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27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一、认罪悔罪方面：罪犯冯再荣在服刑期间，能服从法院判决，认罪悔罪。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二、遵守法律法规及监规方面：罪犯冯再荣在服刑期间，认真遵守法律法规及监规纪律，服从管教。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经审查，我院认为：罪犯冯再荣符合提请减刑条件。未发现提请减刑建议不当，同意将案件交监狱长办公会审核。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综上所述，罪犯冯再荣自上次裁定减刑以来，能认真遵守监规，接受教育改造，确有悔改表现。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冯再荣提请减去有期徒刑八个月，剥夺政治权利五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