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罪犯李阳，女，</w:t>
      </w:r>
      <w:r>
        <w:rPr>
          <w:rFonts w:eastAsia="仿宋_GB2312" w:ascii="仿宋_GB2312" w:hAnsi="仿宋_GB2312"/>
          <w:sz w:val="32"/>
          <w:szCs w:val="32"/>
        </w:rPr>
        <w:t>1979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日生，汉族，中专文化广东省广州市番禺区人，现在贵州省第二女子监狱服刑。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日，贵州省从江县人民法院作出</w:t>
      </w:r>
      <w:r>
        <w:rPr>
          <w:rFonts w:eastAsia="仿宋_GB2312" w:ascii="仿宋_GB2312" w:hAnsi="仿宋_GB2312"/>
          <w:sz w:val="32"/>
          <w:szCs w:val="32"/>
        </w:rPr>
        <w:t>(2021)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2633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58</w:t>
      </w:r>
      <w:r>
        <w:rPr>
          <w:rFonts w:ascii="仿宋_GB2312" w:hAnsi="仿宋_GB2312" w:eastAsia="仿宋_GB2312"/>
          <w:sz w:val="32"/>
          <w:szCs w:val="32"/>
        </w:rPr>
        <w:t>号刑事判决，认定李阳犯组织、领导传销活动罪，判处有期徒刑五年（刑期自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400000.00</w:t>
      </w:r>
      <w:r>
        <w:rPr>
          <w:rFonts w:ascii="仿宋_GB2312" w:hAnsi="仿宋_GB2312" w:eastAsia="仿宋_GB2312"/>
          <w:sz w:val="32"/>
          <w:szCs w:val="32"/>
        </w:rPr>
        <w:t>元。尚未退缴的非法所得予以继续追缴，上缴国库。该犯不服，提出上诉。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日，贵州省黔东南苗族侗族自治州中级人民法院作出（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26 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46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247167.17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3690741.10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2247188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28.52%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8.55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41.56%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12.46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日干警在检查内务卫生时抽查罪犯李阳储物柜，由于该犯未按照生活卫生标准化管理规定摆放物品，在开箱时衣物掉落。扣分</w:t>
      </w:r>
      <w:r>
        <w:rPr>
          <w:rFonts w:eastAsia="仿宋_GB2312" w:ascii="仿宋_GB2312" w:hAnsi="仿宋_GB2312"/>
          <w:sz w:val="32"/>
          <w:szCs w:val="32"/>
        </w:rPr>
        <w:t>3.00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22.34%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6.70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阳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