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253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罪犯陈俊菊，女，</w:t>
      </w:r>
      <w:r>
        <w:rPr>
          <w:rFonts w:eastAsia="仿宋_GB2312" w:ascii="仿宋_GB2312" w:hAnsi="仿宋_GB2312"/>
          <w:sz w:val="32"/>
          <w:szCs w:val="32"/>
        </w:rPr>
        <w:t>1985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日生，汉族，初中文化贵州省兴义市人，现在贵州省第二女子监狱服刑。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日，贵州省黔西南布依族苗族自治州中级人民法院作出（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23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号刑事判决，认定陈俊菊犯故意杀人罪，判处有期徒刑十二年（刑期自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29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28</w:t>
      </w:r>
      <w:r>
        <w:rPr>
          <w:rFonts w:ascii="仿宋_GB2312" w:hAnsi="仿宋_GB2312" w:eastAsia="仿宋_GB2312"/>
          <w:sz w:val="32"/>
          <w:szCs w:val="32"/>
        </w:rPr>
        <w:t>日止），剥夺政治权利二年。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日调入贵州省第一女子监狱服刑，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28</w:t>
      </w:r>
      <w:r>
        <w:rPr>
          <w:rFonts w:ascii="仿宋_GB2312" w:hAnsi="仿宋_GB2312" w:eastAsia="仿宋_GB2312"/>
          <w:sz w:val="32"/>
          <w:szCs w:val="32"/>
        </w:rPr>
        <w:t>日从贵州省第一女子监狱调入贵州省第二女子监狱服刑。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一、认罪悔罪方面：罪犯陈俊菊在服刑期间，能服从法院判决，认罪悔罪。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二、遵守法律法规及监规方面：罪犯陈俊菊在服刑期间，基本遵守法律法规及监规纪律，服从管教。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日未完成劳动定额</w:t>
      </w:r>
      <w:r>
        <w:rPr>
          <w:rFonts w:eastAsia="仿宋_GB2312" w:ascii="仿宋_GB2312" w:hAnsi="仿宋_GB2312"/>
          <w:sz w:val="32"/>
          <w:szCs w:val="32"/>
        </w:rPr>
        <w:t>22.68%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6.80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日未完成劳动定额</w:t>
      </w:r>
      <w:r>
        <w:rPr>
          <w:rFonts w:eastAsia="仿宋_GB2312" w:ascii="仿宋_GB2312" w:hAnsi="仿宋_GB2312"/>
          <w:sz w:val="32"/>
          <w:szCs w:val="32"/>
        </w:rPr>
        <w:t>10.85%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3.25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从严情形：十年以上故意杀人犯罪罪犯 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经审查，我院认为：罪犯陈俊菊符合提请减刑条件。未发现提请减刑建议不当，同意将案件交监狱长办公会审核。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综上所述，罪犯陈俊菊在服刑改造期间，能认真遵守监规，接受教育改造，确有悔改表现。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陈俊菊提请减去有期徒刑三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