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255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罪犯刘姝辰，女，</w:t>
      </w:r>
      <w:r>
        <w:rPr>
          <w:rFonts w:eastAsia="仿宋_GB2312" w:ascii="仿宋_GB2312" w:hAnsi="仿宋_GB2312"/>
          <w:sz w:val="32"/>
          <w:szCs w:val="32"/>
        </w:rPr>
        <w:t>1997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日生，汉族，高中文化云南省曲靖市人，现在贵州省第二女子监狱服刑。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日，贵州省盘州市人民法院作出（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0222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549</w:t>
      </w:r>
      <w:r>
        <w:rPr>
          <w:rFonts w:ascii="仿宋_GB2312" w:hAnsi="仿宋_GB2312" w:eastAsia="仿宋_GB2312"/>
          <w:sz w:val="32"/>
          <w:szCs w:val="32"/>
        </w:rPr>
        <w:t>号刑事判决，认定刘姝辰犯贩卖、运输毒品罪，判处有期徒刑十二年（刑期自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日，贵州省六盘水市中级人民法院作出（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02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58</w:t>
      </w:r>
      <w:r>
        <w:rPr>
          <w:rFonts w:ascii="仿宋_GB2312" w:hAnsi="仿宋_GB2312" w:eastAsia="仿宋_GB2312"/>
          <w:sz w:val="32"/>
          <w:szCs w:val="32"/>
        </w:rPr>
        <w:t>号刑事裁定，同意撤回上诉。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日经贵州省贵阳市中级人民法院裁定减去有期徒刑九个月。（现刑期自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一、认罪悔罪方面：罪犯刘姝辰在服刑期间，能服从法院判决，认罪悔罪。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二、遵守法律法规及监规方面：罪犯刘姝辰在服刑期间，认真遵守法律法规及监规纪律，服从管教。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经审查，我院认为：罪犯刘姝辰符合提请减刑条件。未发现提请减刑建议不当，同意将案件交监狱长办公会审核。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综上所述，罪犯刘姝辰自上次裁定减刑以来，能认真遵守监规，接受教育改造，确有悔改表现。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姝辰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