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罪犯周合群，女，</w:t>
      </w:r>
      <w:r>
        <w:rPr>
          <w:rFonts w:eastAsia="仿宋_GB2312" w:ascii="仿宋_GB2312" w:hAnsi="仿宋_GB2312"/>
          <w:sz w:val="32"/>
          <w:szCs w:val="32"/>
        </w:rPr>
        <w:t>1979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日生，汉族，小学文化贵州省织金县人，现在贵州省第二女子监狱服刑。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日，贵州省修文县人民法院作出（</w:t>
      </w:r>
      <w:r>
        <w:rPr>
          <w:rFonts w:eastAsia="仿宋_GB2312" w:ascii="仿宋_GB2312" w:hAnsi="仿宋_GB2312"/>
          <w:sz w:val="32"/>
          <w:szCs w:val="32"/>
        </w:rPr>
        <w:t>2012</w:t>
      </w:r>
      <w:r>
        <w:rPr>
          <w:rFonts w:ascii="仿宋_GB2312" w:hAnsi="仿宋_GB2312" w:eastAsia="仿宋_GB2312"/>
          <w:sz w:val="32"/>
          <w:szCs w:val="32"/>
        </w:rPr>
        <w:t>）修刑初字第</w:t>
      </w:r>
      <w:r>
        <w:rPr>
          <w:rFonts w:eastAsia="仿宋_GB2312" w:ascii="仿宋_GB2312" w:hAnsi="仿宋_GB2312"/>
          <w:sz w:val="32"/>
          <w:szCs w:val="32"/>
        </w:rPr>
        <w:t>214</w:t>
      </w:r>
      <w:r>
        <w:rPr>
          <w:rFonts w:ascii="仿宋_GB2312" w:hAnsi="仿宋_GB2312" w:eastAsia="仿宋_GB2312"/>
          <w:sz w:val="32"/>
          <w:szCs w:val="32"/>
        </w:rPr>
        <w:t>号刑事判决，认定周合群犯贩卖毒品罪，判处有期徒刑十一年（刑期自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一、认罪悔罪方面：罪犯周合群在服刑期间，能服从法院判决，认罪悔罪。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二、遵守法律法规及监规方面：罪犯周合群在服刑期间，基本遵守法律法规及监规纪律，服从管教。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40000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15.6%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4.68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经审查，我院认为：罪犯周合群符合提请减刑条件。未发现提请减刑建议不当，同意将案件交监狱长办公会审核。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综上所述，罪犯周合群自上次裁定减刑以来，能认真遵守监规，接受教育改造，确有悔改表现。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合群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