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259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罪犯孔海燕，女，</w:t>
      </w:r>
      <w:r>
        <w:rPr>
          <w:rFonts w:eastAsia="仿宋_GB2312" w:ascii="仿宋_GB2312" w:hAnsi="仿宋_GB2312"/>
          <w:sz w:val="32"/>
          <w:szCs w:val="32"/>
        </w:rPr>
        <w:t>1978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日生，汉族，文盲贵州省盘州市人，现在贵州省第二女子监狱服刑。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日，贵州省贞丰县人民法院作出</w:t>
      </w:r>
      <w:r>
        <w:rPr>
          <w:rFonts w:eastAsia="仿宋_GB2312" w:ascii="仿宋_GB2312" w:hAnsi="仿宋_GB2312"/>
          <w:sz w:val="32"/>
          <w:szCs w:val="32"/>
        </w:rPr>
        <w:t xml:space="preserve">(2020) </w:t>
      </w:r>
      <w:r>
        <w:rPr>
          <w:rFonts w:ascii="仿宋_GB2312" w:hAnsi="仿宋_GB2312" w:eastAsia="仿宋_GB2312"/>
          <w:sz w:val="32"/>
          <w:szCs w:val="32"/>
        </w:rPr>
        <w:t xml:space="preserve">黔 </w:t>
      </w:r>
      <w:r>
        <w:rPr>
          <w:rFonts w:eastAsia="仿宋_GB2312" w:ascii="仿宋_GB2312" w:hAnsi="仿宋_GB2312"/>
          <w:sz w:val="32"/>
          <w:szCs w:val="32"/>
        </w:rPr>
        <w:t xml:space="preserve">2325 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94</w:t>
      </w:r>
      <w:r>
        <w:rPr>
          <w:rFonts w:ascii="仿宋_GB2312" w:hAnsi="仿宋_GB2312" w:eastAsia="仿宋_GB2312"/>
          <w:sz w:val="32"/>
          <w:szCs w:val="32"/>
        </w:rPr>
        <w:t>号刑事判决，认定孔海燕犯贩卖毒品罪，判处有期徒刑十五年（刑期自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日止），剥夺政治权利五年。该犯不服，提出上诉。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251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日经贵州省贵阳市中级人民法院裁定减去有期徒刑六个月。（现刑期自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一、认罪悔罪方面：罪犯孔海燕在服刑期间，能服从法院判决，认罪悔罪。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二、遵守法律法规及监规方面：罪犯孔海燕在服刑期间，基本遵守法律法规及监规纪律，服从管教。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月未完成当月劳动定额。扣分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经审查，我院认为：判决认定该犯系主犯，该犯</w:t>
      </w:r>
      <w:r>
        <w:rPr>
          <w:rFonts w:eastAsia="仿宋_GB2312" w:ascii="仿宋_GB2312" w:hAnsi="仿宋_GB2312"/>
          <w:sz w:val="32"/>
          <w:u w:val="none" w:color="FFFFFF"/>
        </w:rPr>
        <w:t>2010</w:t>
      </w:r>
      <w:r>
        <w:rPr>
          <w:rFonts w:ascii="仿宋_GB2312" w:hAnsi="仿宋_GB2312" w:eastAsia="仿宋_GB2312"/>
          <w:sz w:val="32"/>
          <w:u w:val="none" w:color="FFFFFF"/>
        </w:rPr>
        <w:t>年</w:t>
      </w:r>
      <w:r>
        <w:rPr>
          <w:rFonts w:eastAsia="仿宋_GB2312" w:ascii="仿宋_GB2312" w:hAnsi="仿宋_GB2312"/>
          <w:sz w:val="32"/>
          <w:u w:val="none" w:color="FFFFFF"/>
        </w:rPr>
        <w:t>10</w:t>
      </w:r>
      <w:r>
        <w:rPr>
          <w:rFonts w:ascii="仿宋_GB2312" w:hAnsi="仿宋_GB2312" w:eastAsia="仿宋_GB2312"/>
          <w:sz w:val="32"/>
          <w:u w:val="none" w:color="FFFFFF"/>
        </w:rPr>
        <w:t>月</w:t>
      </w:r>
      <w:r>
        <w:rPr>
          <w:rFonts w:eastAsia="仿宋_GB2312" w:ascii="仿宋_GB2312" w:hAnsi="仿宋_GB2312"/>
          <w:sz w:val="32"/>
          <w:u w:val="none" w:color="FFFFFF"/>
        </w:rPr>
        <w:t>30</w:t>
      </w:r>
      <w:r>
        <w:rPr>
          <w:rFonts w:ascii="仿宋_GB2312" w:hAnsi="仿宋_GB2312" w:eastAsia="仿宋_GB2312"/>
          <w:sz w:val="32"/>
          <w:u w:val="none" w:color="FFFFFF"/>
        </w:rPr>
        <w:t>日被采取取保措施后外逃，直至</w:t>
      </w:r>
      <w:r>
        <w:rPr>
          <w:rFonts w:eastAsia="仿宋_GB2312" w:ascii="仿宋_GB2312" w:hAnsi="仿宋_GB2312"/>
          <w:sz w:val="32"/>
          <w:u w:val="none" w:color="FFFFFF"/>
        </w:rPr>
        <w:t>2020</w:t>
      </w:r>
      <w:r>
        <w:rPr>
          <w:rFonts w:ascii="仿宋_GB2312" w:hAnsi="仿宋_GB2312" w:eastAsia="仿宋_GB2312"/>
          <w:sz w:val="32"/>
          <w:u w:val="none" w:color="FFFFFF"/>
        </w:rPr>
        <w:t>年</w:t>
      </w:r>
      <w:r>
        <w:rPr>
          <w:rFonts w:eastAsia="仿宋_GB2312" w:ascii="仿宋_GB2312" w:hAnsi="仿宋_GB2312"/>
          <w:sz w:val="32"/>
          <w:u w:val="none" w:color="FFFFFF"/>
        </w:rPr>
        <w:t>3</w:t>
      </w:r>
      <w:r>
        <w:rPr>
          <w:rFonts w:ascii="仿宋_GB2312" w:hAnsi="仿宋_GB2312" w:eastAsia="仿宋_GB2312"/>
          <w:sz w:val="32"/>
          <w:u w:val="none" w:color="FFFFFF"/>
        </w:rPr>
        <w:t>月</w:t>
      </w:r>
      <w:r>
        <w:rPr>
          <w:rFonts w:eastAsia="仿宋_GB2312" w:ascii="仿宋_GB2312" w:hAnsi="仿宋_GB2312"/>
          <w:sz w:val="32"/>
          <w:u w:val="none" w:color="FFFFFF"/>
        </w:rPr>
        <w:t>26</w:t>
      </w:r>
      <w:r>
        <w:rPr>
          <w:rFonts w:ascii="仿宋_GB2312" w:hAnsi="仿宋_GB2312" w:eastAsia="仿宋_GB2312"/>
          <w:sz w:val="32"/>
          <w:u w:val="none" w:color="FFFFFF"/>
        </w:rPr>
        <w:t>日网上追逃归案，主观上无视法律，逃避打击。建议提请减刑八个月。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综上所述，罪犯孔海燕自上次裁定减刑以来，能认真遵守监规，接受教育改造，确有悔改表现。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孔海燕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