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265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罪犯赵阳蕊，女，</w:t>
      </w:r>
      <w:r>
        <w:rPr>
          <w:rFonts w:eastAsia="仿宋_GB2312" w:ascii="仿宋_GB2312" w:hAnsi="仿宋_GB2312"/>
          <w:sz w:val="32"/>
          <w:szCs w:val="32"/>
        </w:rPr>
        <w:t>2005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18</w:t>
      </w:r>
      <w:r>
        <w:rPr>
          <w:rFonts w:ascii="仿宋_GB2312" w:hAnsi="仿宋_GB2312" w:eastAsia="仿宋_GB2312"/>
          <w:sz w:val="32"/>
          <w:szCs w:val="32"/>
        </w:rPr>
        <w:t>日生，汉族，初中文化贵州省毕节市七星关区人，现在贵州省第二女子监狱服刑。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日，贵州省毕节市七星关区人民法院作出（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0502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523</w:t>
      </w:r>
      <w:r>
        <w:rPr>
          <w:rFonts w:ascii="仿宋_GB2312" w:hAnsi="仿宋_GB2312" w:eastAsia="仿宋_GB2312"/>
          <w:sz w:val="32"/>
          <w:szCs w:val="32"/>
        </w:rPr>
        <w:t>号刑事判决，认定赵阳蕊犯强迫卖淫罪，判处有期徒刑三年三个月（刑期自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2000.00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一、认罪悔罪方面：罪犯赵阳蕊在服刑期间，能服从法院判决，认罪悔罪。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二、遵守法律法规及监规方面：罪犯赵阳蕊在服刑期间，认真遵守法律法规及监规纪律，服从管教。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月获表扬和物质奖励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次；共获得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从严情形：该犯使用暴力手段强迫未成年人卖淫，对未成年人身心造成严重伤害。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经审查，我院认为：罪犯赵阳蕊符合提请减刑条件。未发现提请减刑建议不当，同意将案件交监狱长办公会审核。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综上所述，罪犯赵阳蕊在服刑改造期间，能认真遵守监规，接受教育改造，确有悔改表现。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阳蕊提请减去有期徒刑五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