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罪犯刘桂红，女，</w:t>
      </w:r>
      <w:r>
        <w:rPr>
          <w:rFonts w:eastAsia="仿宋_GB2312" w:ascii="仿宋_GB2312" w:hAnsi="仿宋_GB2312"/>
          <w:sz w:val="32"/>
          <w:szCs w:val="32"/>
        </w:rPr>
        <w:t>1978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日生，汉族，小学文化贵州省盘县人，现在贵州省第二女子监狱服刑。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日，贵州省盘县人民法院作出</w:t>
      </w:r>
      <w:r>
        <w:rPr>
          <w:rFonts w:eastAsia="仿宋_GB2312" w:ascii="仿宋_GB2312" w:hAnsi="仿宋_GB2312"/>
          <w:sz w:val="32"/>
          <w:szCs w:val="32"/>
        </w:rPr>
        <w:t>(2014)</w:t>
      </w:r>
      <w:r>
        <w:rPr>
          <w:rFonts w:ascii="仿宋_GB2312" w:hAnsi="仿宋_GB2312" w:eastAsia="仿宋_GB2312"/>
          <w:sz w:val="32"/>
          <w:szCs w:val="32"/>
        </w:rPr>
        <w:t>黔盘刑初字第</w:t>
      </w:r>
      <w:r>
        <w:rPr>
          <w:rFonts w:eastAsia="仿宋_GB2312" w:ascii="仿宋_GB2312" w:hAnsi="仿宋_GB2312"/>
          <w:sz w:val="32"/>
          <w:szCs w:val="32"/>
        </w:rPr>
        <w:t>606</w:t>
      </w:r>
      <w:r>
        <w:rPr>
          <w:rFonts w:ascii="仿宋_GB2312" w:hAnsi="仿宋_GB2312" w:eastAsia="仿宋_GB2312"/>
          <w:sz w:val="32"/>
          <w:szCs w:val="32"/>
        </w:rPr>
        <w:t>号刑事判决，认定刘桂红犯贩卖毒品罪，判处有期徒刑十五年（刑期自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日止），剥夺政治权利四年，并处没收个人财产人民币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日经贵州省贵阳市中级人民法院裁定减去有期徒刑八个月，剥夺政治权利四年；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日经贵州省贵阳市中级人民法院裁定减去有期徒刑九个月，剥夺政治权利四年；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日经贵州省贵阳市中级人民法院裁定减去有期徒刑九个月，剥夺政治权利四年；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日经贵州省贵阳市中级人民法院裁定减去有期徒刑九个月，剥夺政治权利四年。（现刑期自</w:t>
      </w:r>
      <w:r>
        <w:rPr>
          <w:rFonts w:eastAsia="仿宋_GB2312" w:ascii="仿宋_GB2312" w:hAnsi="仿宋_GB2312"/>
          <w:sz w:val="32"/>
          <w:szCs w:val="32"/>
        </w:rPr>
        <w:t>2011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一、认罪悔罪方面：罪犯刘桂红在服刑期间，能服从法院判决，认罪悔罪。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二、遵守法律法规及监规方面：罪犯刘桂红在服刑期间，基本遵守法律法规及监规纪律，服从管教。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五、履行财产性判项方面：没收财产人民币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元（已全部履行）。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日罪犯刘桂红未及时巡检，导致产品质量不达标扣分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经审查，我院认为：罪犯刘桂红符合提请减刑条件。未发现提请减刑建议不当，同意将案件交监狱长办公会审核。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综上所述，罪犯刘桂红自上次裁定减刑以来，能认真遵守监规，接受教育改造，确有悔改表现。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桂红提请减去有期徒刑九个月，剥夺政治权利四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