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napToGrid w:val="false"/>
        <w:spacing w:lineRule="exact" w:line="56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贵州省第二女子监狱</w:t>
      </w:r>
    </w:p>
    <w:p>
      <w:pPr>
        <w:pStyle w:val="Normal"/>
        <w:snapToGrid w:val="false"/>
        <w:spacing w:lineRule="exact" w:line="56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pStyle w:val="Normal"/>
        <w:spacing w:lineRule="exact" w:line="560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</w:r>
    </w:p>
    <w:p>
      <w:pPr>
        <w:pStyle w:val="Normal"/>
        <w:spacing w:lineRule="exact" w:line="560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  <w:t>(2025)</w:t>
      </w:r>
      <w:r>
        <w:rPr>
          <w:rFonts w:ascii="仿宋_GB2312" w:hAnsi="仿宋_GB2312" w:eastAsia="仿宋_GB2312"/>
          <w:sz w:val="32"/>
          <w:szCs w:val="32"/>
        </w:rPr>
        <w:t>黔二女监减字第</w:t>
      </w:r>
      <w:r>
        <w:rPr>
          <w:rFonts w:eastAsia="仿宋_GB2312" w:ascii="仿宋_GB2312" w:hAnsi="仿宋_GB2312"/>
          <w:sz w:val="32"/>
          <w:szCs w:val="32"/>
        </w:rPr>
        <w:t>283</w:t>
      </w:r>
      <w:r>
        <w:rPr>
          <w:rFonts w:ascii="仿宋_GB2312" w:hAnsi="仿宋_GB2312" w:eastAsia="仿宋_GB2312"/>
          <w:sz w:val="32"/>
          <w:szCs w:val="32"/>
        </w:rPr>
        <w:t>号</w:t>
      </w:r>
    </w:p>
    <w:p>
      <w:pPr>
        <w:pStyle w:val="Normal"/>
        <w:spacing w:lineRule="exact" w:line="560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罪犯李光芬，女，</w:t>
      </w:r>
      <w:r>
        <w:rPr>
          <w:rFonts w:eastAsia="仿宋_GB2312" w:ascii="仿宋_GB2312" w:hAnsi="仿宋_GB2312"/>
          <w:sz w:val="32"/>
          <w:szCs w:val="32"/>
        </w:rPr>
        <w:t>1963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4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20</w:t>
      </w:r>
      <w:r>
        <w:rPr>
          <w:rFonts w:ascii="仿宋_GB2312" w:hAnsi="仿宋_GB2312" w:eastAsia="仿宋_GB2312"/>
          <w:sz w:val="32"/>
          <w:szCs w:val="32"/>
        </w:rPr>
        <w:t>日生，苗族，文盲贵州省三都水族自治县人，现在贵州省第二女子监狱服刑。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  <w:t>2020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3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27</w:t>
      </w:r>
      <w:r>
        <w:rPr>
          <w:rFonts w:ascii="仿宋_GB2312" w:hAnsi="仿宋_GB2312" w:eastAsia="仿宋_GB2312"/>
          <w:sz w:val="32"/>
          <w:szCs w:val="32"/>
        </w:rPr>
        <w:t>日，贵州省三都水族自治县人民法院作出</w:t>
      </w:r>
      <w:r>
        <w:rPr>
          <w:rFonts w:eastAsia="仿宋_GB2312" w:ascii="仿宋_GB2312" w:hAnsi="仿宋_GB2312"/>
          <w:sz w:val="32"/>
          <w:szCs w:val="32"/>
        </w:rPr>
        <w:t>(2019)</w:t>
      </w:r>
      <w:r>
        <w:rPr>
          <w:rFonts w:ascii="仿宋_GB2312" w:hAnsi="仿宋_GB2312" w:eastAsia="仿宋_GB2312"/>
          <w:sz w:val="32"/>
          <w:szCs w:val="32"/>
        </w:rPr>
        <w:t>黔</w:t>
      </w:r>
      <w:r>
        <w:rPr>
          <w:rFonts w:eastAsia="仿宋_GB2312" w:ascii="仿宋_GB2312" w:hAnsi="仿宋_GB2312"/>
          <w:sz w:val="32"/>
          <w:szCs w:val="32"/>
        </w:rPr>
        <w:t>2732</w:t>
      </w:r>
      <w:r>
        <w:rPr>
          <w:rFonts w:ascii="仿宋_GB2312" w:hAnsi="仿宋_GB2312" w:eastAsia="仿宋_GB2312"/>
          <w:sz w:val="32"/>
          <w:szCs w:val="32"/>
        </w:rPr>
        <w:t>刑初</w:t>
      </w:r>
      <w:r>
        <w:rPr>
          <w:rFonts w:eastAsia="仿宋_GB2312" w:ascii="仿宋_GB2312" w:hAnsi="仿宋_GB2312"/>
          <w:sz w:val="32"/>
          <w:szCs w:val="32"/>
        </w:rPr>
        <w:t>215</w:t>
      </w:r>
      <w:r>
        <w:rPr>
          <w:rFonts w:ascii="仿宋_GB2312" w:hAnsi="仿宋_GB2312" w:eastAsia="仿宋_GB2312"/>
          <w:sz w:val="32"/>
          <w:szCs w:val="32"/>
        </w:rPr>
        <w:t>号刑事判决，认定李光芬犯故意伤害罪，判处有期徒刑十年（刑期自</w:t>
      </w:r>
      <w:r>
        <w:rPr>
          <w:rFonts w:eastAsia="仿宋_GB2312" w:ascii="仿宋_GB2312" w:hAnsi="仿宋_GB2312"/>
          <w:sz w:val="32"/>
          <w:szCs w:val="32"/>
        </w:rPr>
        <w:t>2019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8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20</w:t>
      </w:r>
      <w:r>
        <w:rPr>
          <w:rFonts w:ascii="仿宋_GB2312" w:hAnsi="仿宋_GB2312" w:eastAsia="仿宋_GB2312"/>
          <w:sz w:val="32"/>
          <w:szCs w:val="32"/>
        </w:rPr>
        <w:t>日起至</w:t>
      </w:r>
      <w:r>
        <w:rPr>
          <w:rFonts w:eastAsia="仿宋_GB2312" w:ascii="仿宋_GB2312" w:hAnsi="仿宋_GB2312"/>
          <w:sz w:val="32"/>
          <w:szCs w:val="32"/>
        </w:rPr>
        <w:t>2029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8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19</w:t>
      </w:r>
      <w:r>
        <w:rPr>
          <w:rFonts w:ascii="仿宋_GB2312" w:hAnsi="仿宋_GB2312" w:eastAsia="仿宋_GB2312"/>
          <w:sz w:val="32"/>
          <w:szCs w:val="32"/>
        </w:rPr>
        <w:t>日止）。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判决发生法律效力后于</w:t>
      </w:r>
      <w:r>
        <w:rPr>
          <w:rFonts w:eastAsia="仿宋_GB2312" w:ascii="仿宋_GB2312" w:hAnsi="仿宋_GB2312"/>
          <w:sz w:val="32"/>
          <w:szCs w:val="32"/>
        </w:rPr>
        <w:t>2020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6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4</w:t>
      </w:r>
      <w:r>
        <w:rPr>
          <w:rFonts w:ascii="仿宋_GB2312" w:hAnsi="仿宋_GB2312" w:eastAsia="仿宋_GB2312"/>
          <w:sz w:val="32"/>
          <w:szCs w:val="32"/>
        </w:rPr>
        <w:t>日交付贵州省第二女子监狱执行。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服刑期间执行刑期变动情况：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6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26</w:t>
      </w:r>
      <w:r>
        <w:rPr>
          <w:rFonts w:ascii="仿宋_GB2312" w:hAnsi="仿宋_GB2312" w:eastAsia="仿宋_GB2312"/>
          <w:sz w:val="32"/>
          <w:szCs w:val="32"/>
        </w:rPr>
        <w:t>日经贵州省贵阳市中级人民法院裁定减去有期徒刑九个月。（现刑期自</w:t>
      </w:r>
      <w:r>
        <w:rPr>
          <w:rFonts w:eastAsia="仿宋_GB2312" w:ascii="仿宋_GB2312" w:hAnsi="仿宋_GB2312"/>
          <w:sz w:val="32"/>
          <w:szCs w:val="32"/>
        </w:rPr>
        <w:t>2019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8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20</w:t>
      </w:r>
      <w:r>
        <w:rPr>
          <w:rFonts w:ascii="仿宋_GB2312" w:hAnsi="仿宋_GB2312" w:eastAsia="仿宋_GB2312"/>
          <w:sz w:val="32"/>
          <w:szCs w:val="32"/>
        </w:rPr>
        <w:t>日起至</w:t>
      </w:r>
      <w:r>
        <w:rPr>
          <w:rFonts w:eastAsia="仿宋_GB2312" w:ascii="仿宋_GB2312" w:hAnsi="仿宋_GB2312"/>
          <w:sz w:val="32"/>
          <w:szCs w:val="32"/>
        </w:rPr>
        <w:t>2028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11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19</w:t>
      </w:r>
      <w:r>
        <w:rPr>
          <w:rFonts w:ascii="仿宋_GB2312" w:hAnsi="仿宋_GB2312" w:eastAsia="仿宋_GB2312"/>
          <w:sz w:val="32"/>
          <w:szCs w:val="32"/>
        </w:rPr>
        <w:t>日止）。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该犯自上次裁定减刑以来，确有悔改表现，具体事实如下：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一、认罪悔罪方面：罪犯李光芬在服刑期间，能服从法院判决，认罪悔罪。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二、遵守法律法规及监规方面：罪犯李光芬在服刑期间，基本遵守法律法规及监规纪律，服从管教。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四、劳动改造方面：能积极参加劳动，基本完成劳动任务，表现较好。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五、履行财产性判项方面：无。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六、考核奖励情况：</w:t>
      </w:r>
      <w:r>
        <w:rPr>
          <w:rFonts w:eastAsia="仿宋_GB2312" w:ascii="仿宋_GB2312" w:hAnsi="仿宋_GB2312"/>
          <w:sz w:val="32"/>
          <w:szCs w:val="32"/>
        </w:rPr>
        <w:t>2022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7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2022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12</w:t>
      </w:r>
      <w:r>
        <w:rPr>
          <w:rFonts w:ascii="仿宋_GB2312" w:hAnsi="仿宋_GB2312" w:eastAsia="仿宋_GB2312"/>
          <w:sz w:val="32"/>
          <w:szCs w:val="32"/>
        </w:rPr>
        <w:t>月获物质奖励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次；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月获表扬和物质奖励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次；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6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11</w:t>
      </w:r>
      <w:r>
        <w:rPr>
          <w:rFonts w:ascii="仿宋_GB2312" w:hAnsi="仿宋_GB2312" w:eastAsia="仿宋_GB2312"/>
          <w:sz w:val="32"/>
          <w:szCs w:val="32"/>
        </w:rPr>
        <w:t>月获物质奖励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次；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12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4</w:t>
      </w:r>
      <w:r>
        <w:rPr>
          <w:rFonts w:ascii="仿宋_GB2312" w:hAnsi="仿宋_GB2312" w:eastAsia="仿宋_GB2312"/>
          <w:sz w:val="32"/>
          <w:szCs w:val="32"/>
        </w:rPr>
        <w:t>月获物质奖励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次；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10</w:t>
      </w:r>
      <w:r>
        <w:rPr>
          <w:rFonts w:ascii="仿宋_GB2312" w:hAnsi="仿宋_GB2312" w:eastAsia="仿宋_GB2312"/>
          <w:sz w:val="32"/>
          <w:szCs w:val="32"/>
        </w:rPr>
        <w:t>月获表扬和物质奖励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次；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11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3</w:t>
      </w:r>
      <w:r>
        <w:rPr>
          <w:rFonts w:ascii="仿宋_GB2312" w:hAnsi="仿宋_GB2312" w:eastAsia="仿宋_GB2312"/>
          <w:sz w:val="32"/>
          <w:szCs w:val="32"/>
        </w:rPr>
        <w:t>月获表扬和物质奖励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次；共获得</w:t>
      </w:r>
      <w:r>
        <w:rPr>
          <w:rFonts w:eastAsia="仿宋_GB2312" w:ascii="仿宋_GB2312" w:hAnsi="仿宋_GB2312"/>
          <w:sz w:val="32"/>
          <w:szCs w:val="32"/>
        </w:rPr>
        <w:t>3</w:t>
      </w:r>
      <w:r>
        <w:rPr>
          <w:rFonts w:ascii="仿宋_GB2312" w:hAnsi="仿宋_GB2312" w:eastAsia="仿宋_GB2312"/>
          <w:sz w:val="32"/>
          <w:szCs w:val="32"/>
        </w:rPr>
        <w:t>个表扬、</w:t>
      </w:r>
      <w:r>
        <w:rPr>
          <w:rFonts w:eastAsia="仿宋_GB2312" w:ascii="仿宋_GB2312" w:hAnsi="仿宋_GB2312"/>
          <w:sz w:val="32"/>
          <w:szCs w:val="32"/>
        </w:rPr>
        <w:t>3</w:t>
      </w:r>
      <w:r>
        <w:rPr>
          <w:rFonts w:ascii="仿宋_GB2312" w:hAnsi="仿宋_GB2312" w:eastAsia="仿宋_GB2312"/>
          <w:sz w:val="32"/>
          <w:szCs w:val="32"/>
        </w:rPr>
        <w:t>个物质奖励。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扣分及违规情况：</w:t>
      </w:r>
      <w:r>
        <w:rPr>
          <w:rFonts w:eastAsia="仿宋_GB2312" w:ascii="仿宋_GB2312" w:hAnsi="仿宋_GB2312"/>
          <w:sz w:val="32"/>
          <w:szCs w:val="32"/>
        </w:rPr>
        <w:t>2022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08</w:t>
      </w:r>
      <w:r>
        <w:rPr>
          <w:rFonts w:ascii="仿宋_GB2312" w:hAnsi="仿宋_GB2312" w:eastAsia="仿宋_GB2312"/>
          <w:sz w:val="32"/>
          <w:szCs w:val="32"/>
        </w:rPr>
        <w:t>月未完成劳动定额</w:t>
      </w:r>
      <w:r>
        <w:rPr>
          <w:rFonts w:eastAsia="仿宋_GB2312" w:ascii="仿宋_GB2312" w:hAnsi="仿宋_GB2312"/>
          <w:sz w:val="32"/>
          <w:szCs w:val="32"/>
        </w:rPr>
        <w:t>17.92%</w:t>
      </w:r>
      <w:r>
        <w:rPr>
          <w:rFonts w:ascii="仿宋_GB2312" w:hAnsi="仿宋_GB2312" w:eastAsia="仿宋_GB2312"/>
          <w:sz w:val="32"/>
          <w:szCs w:val="32"/>
        </w:rPr>
        <w:t>扣分</w:t>
      </w:r>
      <w:r>
        <w:rPr>
          <w:rFonts w:eastAsia="仿宋_GB2312" w:ascii="仿宋_GB2312" w:hAnsi="仿宋_GB2312"/>
          <w:sz w:val="32"/>
          <w:szCs w:val="32"/>
        </w:rPr>
        <w:t>5.37</w:t>
      </w:r>
      <w:r>
        <w:rPr>
          <w:rFonts w:ascii="仿宋_GB2312" w:hAnsi="仿宋_GB2312" w:eastAsia="仿宋_GB2312"/>
          <w:sz w:val="32"/>
          <w:szCs w:val="32"/>
        </w:rPr>
        <w:t>分；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06</w:t>
      </w:r>
      <w:r>
        <w:rPr>
          <w:rFonts w:ascii="仿宋_GB2312" w:hAnsi="仿宋_GB2312" w:eastAsia="仿宋_GB2312"/>
          <w:sz w:val="32"/>
          <w:szCs w:val="32"/>
        </w:rPr>
        <w:t>月未完成劳动定额</w:t>
      </w:r>
      <w:r>
        <w:rPr>
          <w:rFonts w:eastAsia="仿宋_GB2312" w:ascii="仿宋_GB2312" w:hAnsi="仿宋_GB2312"/>
          <w:sz w:val="32"/>
          <w:szCs w:val="32"/>
        </w:rPr>
        <w:t>13.23%</w:t>
      </w:r>
      <w:r>
        <w:rPr>
          <w:rFonts w:ascii="仿宋_GB2312" w:hAnsi="仿宋_GB2312" w:eastAsia="仿宋_GB2312"/>
          <w:sz w:val="32"/>
          <w:szCs w:val="32"/>
        </w:rPr>
        <w:t>扣分</w:t>
      </w:r>
      <w:r>
        <w:rPr>
          <w:rFonts w:eastAsia="仿宋_GB2312" w:ascii="仿宋_GB2312" w:hAnsi="仿宋_GB2312"/>
          <w:sz w:val="32"/>
          <w:szCs w:val="32"/>
        </w:rPr>
        <w:t>3.96</w:t>
      </w:r>
      <w:r>
        <w:rPr>
          <w:rFonts w:ascii="仿宋_GB2312" w:hAnsi="仿宋_GB2312" w:eastAsia="仿宋_GB2312"/>
          <w:sz w:val="32"/>
          <w:szCs w:val="32"/>
        </w:rPr>
        <w:t>分；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07</w:t>
      </w:r>
      <w:r>
        <w:rPr>
          <w:rFonts w:ascii="仿宋_GB2312" w:hAnsi="仿宋_GB2312" w:eastAsia="仿宋_GB2312"/>
          <w:sz w:val="32"/>
          <w:szCs w:val="32"/>
        </w:rPr>
        <w:t>月未完成劳动定额</w:t>
      </w:r>
      <w:r>
        <w:rPr>
          <w:rFonts w:eastAsia="仿宋_GB2312" w:ascii="仿宋_GB2312" w:hAnsi="仿宋_GB2312"/>
          <w:sz w:val="32"/>
          <w:szCs w:val="32"/>
        </w:rPr>
        <w:t>5.7%</w:t>
      </w:r>
      <w:r>
        <w:rPr>
          <w:rFonts w:ascii="仿宋_GB2312" w:hAnsi="仿宋_GB2312" w:eastAsia="仿宋_GB2312"/>
          <w:sz w:val="32"/>
          <w:szCs w:val="32"/>
        </w:rPr>
        <w:t>扣分</w:t>
      </w:r>
      <w:r>
        <w:rPr>
          <w:rFonts w:eastAsia="仿宋_GB2312" w:ascii="仿宋_GB2312" w:hAnsi="仿宋_GB2312"/>
          <w:sz w:val="32"/>
          <w:szCs w:val="32"/>
        </w:rPr>
        <w:t>1.71</w:t>
      </w:r>
      <w:r>
        <w:rPr>
          <w:rFonts w:ascii="仿宋_GB2312" w:hAnsi="仿宋_GB2312" w:eastAsia="仿宋_GB2312"/>
          <w:sz w:val="32"/>
          <w:szCs w:val="32"/>
        </w:rPr>
        <w:t>分；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08</w:t>
      </w:r>
      <w:r>
        <w:rPr>
          <w:rFonts w:ascii="仿宋_GB2312" w:hAnsi="仿宋_GB2312" w:eastAsia="仿宋_GB2312"/>
          <w:sz w:val="32"/>
          <w:szCs w:val="32"/>
        </w:rPr>
        <w:t>月未完成劳动定额</w:t>
      </w:r>
      <w:r>
        <w:rPr>
          <w:rFonts w:eastAsia="仿宋_GB2312" w:ascii="仿宋_GB2312" w:hAnsi="仿宋_GB2312"/>
          <w:sz w:val="32"/>
          <w:szCs w:val="32"/>
        </w:rPr>
        <w:t>8.3%</w:t>
      </w:r>
      <w:r>
        <w:rPr>
          <w:rFonts w:ascii="仿宋_GB2312" w:hAnsi="仿宋_GB2312" w:eastAsia="仿宋_GB2312"/>
          <w:sz w:val="32"/>
          <w:szCs w:val="32"/>
        </w:rPr>
        <w:t>扣分</w:t>
      </w:r>
      <w:r>
        <w:rPr>
          <w:rFonts w:eastAsia="仿宋_GB2312" w:ascii="仿宋_GB2312" w:hAnsi="仿宋_GB2312"/>
          <w:sz w:val="32"/>
          <w:szCs w:val="32"/>
        </w:rPr>
        <w:t>2.49</w:t>
      </w:r>
      <w:r>
        <w:rPr>
          <w:rFonts w:ascii="仿宋_GB2312" w:hAnsi="仿宋_GB2312" w:eastAsia="仿宋_GB2312"/>
          <w:sz w:val="32"/>
          <w:szCs w:val="32"/>
        </w:rPr>
        <w:t>分；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4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15</w:t>
      </w:r>
      <w:r>
        <w:rPr>
          <w:rFonts w:ascii="仿宋_GB2312" w:hAnsi="仿宋_GB2312" w:eastAsia="仿宋_GB2312"/>
          <w:sz w:val="32"/>
          <w:szCs w:val="32"/>
        </w:rPr>
        <w:t>日企图实施自伤自残行为扣分</w:t>
      </w:r>
      <w:r>
        <w:rPr>
          <w:rFonts w:eastAsia="仿宋_GB2312" w:ascii="仿宋_GB2312" w:hAnsi="仿宋_GB2312"/>
          <w:sz w:val="32"/>
          <w:szCs w:val="32"/>
        </w:rPr>
        <w:t>20.00</w:t>
      </w:r>
      <w:r>
        <w:rPr>
          <w:rFonts w:ascii="仿宋_GB2312" w:hAnsi="仿宋_GB2312" w:eastAsia="仿宋_GB2312"/>
          <w:sz w:val="32"/>
          <w:szCs w:val="32"/>
        </w:rPr>
        <w:t>分。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从严情形：无。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检察机关审查意见：</w:t>
      </w:r>
      <w:r>
        <w:rPr>
          <w:rFonts w:ascii="仿宋_GB2312" w:hAnsi="仿宋_GB2312" w:eastAsia="仿宋_GB2312"/>
          <w:sz w:val="32"/>
          <w:u w:val="none" w:color="FFFFFF"/>
        </w:rPr>
        <w:t>经审查，我院认为：罪犯李光芬符合提请减刑条件。未发现提请减刑建议不当，同意将案件交监狱长办公会审核。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综上所述，罪犯李光芬自上次裁定减刑以来，能认真遵守监规，接受教育改造，确有悔改表现。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为此，根据《中华人民共和国刑法》第七十八条第一款、第七十九条、《中华人民共和国刑事诉讼法》第二百七十三条、《中华人民共和国监狱法》第二十九条之规定，建议对罪犯李光芬提请减去有期徒刑九个月，特提请裁定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此致</w:t>
      </w:r>
    </w:p>
    <w:p>
      <w:pPr>
        <w:pStyle w:val="Normal"/>
        <w:snapToGrid w:val="false"/>
        <w:spacing w:lineRule="exact" w:line="560"/>
        <w:rPr>
          <w:rFonts w:ascii="仿宋_GB2312" w:hAnsi="仿宋_GB2312" w:eastAsia="仿宋_GB2312"/>
          <w:sz w:val="32"/>
          <w:szCs w:val="32"/>
        </w:rPr>
      </w:pPr>
      <w:r>
        <w:drawing>
          <wp:anchor behindDoc="1" distT="0" distB="0" distL="0" distR="0" simplePos="0" locked="0" layoutInCell="1" allowOverlap="1" relativeHeight="2">
            <wp:simplePos x="0" y="0"/>
            <wp:positionH relativeFrom="column">
              <wp:posOffset>3587750</wp:posOffset>
            </wp:positionH>
            <wp:positionV relativeFrom="paragraph">
              <wp:posOffset>302260</wp:posOffset>
            </wp:positionV>
            <wp:extent cx="1511935" cy="1511935"/>
            <wp:effectExtent l="0" t="0" r="0" b="0"/>
            <wp:wrapNone/>
            <wp:docPr id="1" name="图片 1" descr="{{gz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_GB2312" w:hAnsi="仿宋_GB2312" w:eastAsia="仿宋_GB2312"/>
          <w:sz w:val="32"/>
          <w:szCs w:val="32"/>
        </w:rPr>
        <w:t>贵州省贵阳市中级人民法院</w:t>
      </w:r>
    </w:p>
    <w:p>
      <w:pPr>
        <w:pStyle w:val="Normal"/>
        <w:snapToGrid w:val="false"/>
        <w:spacing w:lineRule="exact" w:line="56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</w:r>
    </w:p>
    <w:p>
      <w:pPr>
        <w:pStyle w:val="Normal"/>
        <w:spacing w:lineRule="exact" w:line="560"/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</w:t>
      </w:r>
      <w:r>
        <w:rPr>
          <w:rFonts w:ascii="仿宋_GB2312" w:hAnsi="仿宋_GB2312" w:eastAsia="仿宋_GB2312"/>
          <w:sz w:val="32"/>
          <w:szCs w:val="32"/>
        </w:rPr>
        <w:t>（公章）</w:t>
      </w:r>
    </w:p>
    <w:p>
      <w:pPr>
        <w:pStyle w:val="Normal"/>
        <w:snapToGrid w:val="false"/>
        <w:spacing w:lineRule="exact" w:line="560"/>
        <w:ind w:firstLine="5760"/>
        <w:rPr>
          <w:rFonts w:ascii="仿宋" w:hAnsi="仿宋" w:eastAsia="仿宋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  <w:t>2025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8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日</w:t>
      </w:r>
    </w:p>
    <w:sectPr>
      <w:type w:val="nextPage"/>
      <w:pgSz w:w="11906" w:h="16838"/>
      <w:pgMar w:left="1588" w:right="1474" w:gutter="0" w:header="0" w:top="2098" w:footer="0" w:bottom="1985"/>
      <w:paperSrc w:first="0" w:other="0"/>
      <w:pgNumType w:fmt="decimal"/>
      <w:formProt w:val="false"/>
      <w:textDirection w:val="lrTb"/>
      <w:docGrid w:type="lines" w:linePitch="312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DejaVu Serif">
    <w:charset w:val="01"/>
    <w:family w:val="roman"/>
    <w:pitch w:val="variable"/>
  </w:font>
  <w:font w:name="等线">
    <w:charset w:val="01"/>
    <w:family w:val="roman"/>
    <w:pitch w:val="variable"/>
  </w:font>
  <w:font w:name="仿宋">
    <w:charset w:val="01"/>
    <w:family w:val="roman"/>
    <w:pitch w:val="variable"/>
  </w:font>
  <w:font w:name="DejaVu Sans">
    <w:charset w:val="01"/>
    <w:family w:val="swiss"/>
    <w:pitch w:val="variable"/>
  </w:font>
  <w:font w:name="方正小标宋简体">
    <w:charset w:val="01"/>
    <w:family w:val="roman"/>
    <w:pitch w:val="variable"/>
  </w:font>
  <w:font w:name="仿宋_GB2312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420"/>
  <w:autoHyphenation w:val="true"/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等线" w:hAnsi="等线" w:eastAsia="等线" w:cs="" w:asciiTheme="minorHAnsi" w:cstheme="minorBidi" w:eastAsiaTheme="minorEastAsia" w:hAnsiTheme="minorHAnsi"/>
        <w:kern w:val="2"/>
        <w:sz w:val="21"/>
        <w:szCs w:val="22"/>
        <w:lang w:val="en-US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both"/>
    </w:pPr>
    <w:rPr>
      <w:rFonts w:ascii="等线" w:hAnsi="等线" w:eastAsia="等线" w:cs="" w:asciiTheme="minorHAnsi" w:cstheme="minorBidi" w:eastAsiaTheme="minorEastAsia" w:hAnsiTheme="minorHAnsi"/>
      <w:color w:val="auto"/>
      <w:kern w:val="2"/>
      <w:sz w:val="21"/>
      <w:szCs w:val="22"/>
      <w:lang w:val="en-US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页眉 字符"/>
    <w:basedOn w:val="DefaultParagraphFont"/>
    <w:link w:val="Header"/>
    <w:uiPriority w:val="99"/>
    <w:qFormat/>
    <w:rsid w:val="00c915da"/>
    <w:rPr>
      <w:sz w:val="18"/>
      <w:szCs w:val="18"/>
    </w:rPr>
  </w:style>
  <w:style w:type="character" w:styleId="Style15" w:customStyle="1">
    <w:name w:val="页脚 字符"/>
    <w:basedOn w:val="DefaultParagraphFont"/>
    <w:link w:val="Footer"/>
    <w:uiPriority w:val="99"/>
    <w:qFormat/>
    <w:rsid w:val="00c915da"/>
    <w:rPr>
      <w:sz w:val="18"/>
      <w:szCs w:val="18"/>
    </w:rPr>
  </w:style>
  <w:style w:type="character" w:styleId="Style16" w:customStyle="1">
    <w:name w:val="称呼 字符"/>
    <w:basedOn w:val="DefaultParagraphFont"/>
    <w:uiPriority w:val="99"/>
    <w:qFormat/>
    <w:rsid w:val="00d57885"/>
    <w:rPr>
      <w:rFonts w:ascii="仿宋" w:hAnsi="仿宋" w:eastAsia="仿宋"/>
      <w:sz w:val="30"/>
      <w:szCs w:val="30"/>
    </w:rPr>
  </w:style>
  <w:style w:type="character" w:styleId="Style17" w:customStyle="1">
    <w:name w:val="结束语 字符"/>
    <w:basedOn w:val="DefaultParagraphFont"/>
    <w:link w:val="Closing"/>
    <w:uiPriority w:val="99"/>
    <w:qFormat/>
    <w:rsid w:val="00d57885"/>
    <w:rPr>
      <w:rFonts w:ascii="仿宋" w:hAnsi="仿宋" w:eastAsia="仿宋"/>
      <w:sz w:val="30"/>
      <w:szCs w:val="30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DejaVu Sans" w:hAnsi="DejaVu Sans" w:eastAsia="Microsoft YaHei" w:cs="WenQuanYi Zen He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WenQuanYi Zen He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WenQuanYi Zen He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WenQuanYi Zen Hei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4"/>
    <w:uiPriority w:val="99"/>
    <w:unhideWhenUsed/>
    <w:rsid w:val="00c915da"/>
    <w:pPr>
      <w:pBdr>
        <w:bottom w:val="single" w:sz="6" w:space="1" w:color="000000"/>
      </w:pBdr>
      <w:tabs>
        <w:tab w:val="clear" w:pos="420"/>
        <w:tab w:val="center" w:pos="4153" w:leader="none"/>
        <w:tab w:val="right" w:pos="8306" w:leader="none"/>
      </w:tabs>
      <w:snapToGrid w:val="false"/>
      <w:jc w:val="center"/>
    </w:pPr>
    <w:rPr>
      <w:sz w:val="18"/>
      <w:szCs w:val="18"/>
    </w:rPr>
  </w:style>
  <w:style w:type="paragraph" w:styleId="Footer">
    <w:name w:val="Footer"/>
    <w:basedOn w:val="Normal"/>
    <w:link w:val="Style15"/>
    <w:uiPriority w:val="99"/>
    <w:unhideWhenUsed/>
    <w:rsid w:val="00c915da"/>
    <w:pPr>
      <w:tabs>
        <w:tab w:val="clear" w:pos="420"/>
        <w:tab w:val="center" w:pos="4153" w:leader="none"/>
        <w:tab w:val="right" w:pos="8306" w:leader="none"/>
      </w:tabs>
      <w:snapToGrid w:val="false"/>
      <w:jc w:val="left"/>
    </w:pPr>
    <w:rPr>
      <w:sz w:val="18"/>
      <w:szCs w:val="18"/>
    </w:rPr>
  </w:style>
  <w:style w:type="paragraph" w:styleId="Salutation">
    <w:name w:val="Salutation"/>
    <w:basedOn w:val="Normal"/>
    <w:next w:val="Normal"/>
    <w:link w:val="Style16"/>
    <w:uiPriority w:val="99"/>
    <w:unhideWhenUsed/>
    <w:rsid w:val="00d57885"/>
    <w:pPr/>
    <w:rPr>
      <w:rFonts w:ascii="仿宋" w:hAnsi="仿宋" w:eastAsia="仿宋"/>
      <w:sz w:val="30"/>
      <w:szCs w:val="30"/>
    </w:rPr>
  </w:style>
  <w:style w:type="paragraph" w:styleId="Closing">
    <w:name w:val="Closing"/>
    <w:basedOn w:val="Normal"/>
    <w:link w:val="Style17"/>
    <w:uiPriority w:val="99"/>
    <w:unhideWhenUsed/>
    <w:rsid w:val="00d57885"/>
    <w:pPr>
      <w:ind w:left="100"/>
    </w:pPr>
    <w:rPr>
      <w:rFonts w:ascii="仿宋" w:hAnsi="仿宋" w:eastAsia="仿宋"/>
      <w:sz w:val="30"/>
      <w:szCs w:val="3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39"/>
    <w:rsid w:val="001357d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主题​​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 pitchFamily="0" charset="1"/>
        <a:ea typeface=""/>
        <a:cs typeface=""/>
      </a:majorFont>
      <a:minorFont>
        <a:latin typeface="等线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Application>LibreOffice/24.2.7.2$Linux_X86_64 LibreOffice_project/420$Build-2</Application>
  <AppVersion>15.0000</AppVersion>
  <Pages>2</Pages>
  <Words>34</Words>
  <Characters>200</Characters>
  <CharactersWithSpaces>233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dc:description/>
  <dc:language>zh-CN</dc:language>
  <cp:lastModifiedBy>三 曾</cp:lastModifiedBy>
  <dcterms:modified xsi:type="dcterms:W3CDTF">2025-07-15T09:38:00Z</dcterms:modified>
  <cp:revision>103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