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罪犯赵江群，女，</w:t>
      </w:r>
      <w:r>
        <w:rPr>
          <w:rFonts w:eastAsia="仿宋_GB2312" w:ascii="仿宋_GB2312" w:hAnsi="仿宋_GB2312"/>
          <w:sz w:val="32"/>
          <w:szCs w:val="32"/>
        </w:rPr>
        <w:t>1997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日生，汉族，初中文化贵州省黔西市人，现在贵州省第二女子监狱服刑。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日，贵州省黔西县人民法院作出（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153</w:t>
      </w:r>
      <w:r>
        <w:rPr>
          <w:rFonts w:ascii="仿宋_GB2312" w:hAnsi="仿宋_GB2312" w:eastAsia="仿宋_GB2312"/>
          <w:sz w:val="32"/>
          <w:szCs w:val="32"/>
        </w:rPr>
        <w:t>号刑事判决，认定赵江群犯诈骗罪，判处有期徒刑十年（刑期自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元，责令退赔被害人经济损失人民币</w:t>
      </w:r>
      <w:r>
        <w:rPr>
          <w:rFonts w:eastAsia="仿宋_GB2312" w:ascii="仿宋_GB2312" w:hAnsi="仿宋_GB2312"/>
          <w:sz w:val="32"/>
          <w:szCs w:val="32"/>
        </w:rPr>
        <w:t>192425.13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264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一、认罪悔罪方面：罪犯赵江群在服刑期间，能服从法院判决，认罪悔罪。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二、遵守法律法规及监规方面：罪犯赵江群在服刑期间，基本遵守法律法规及监规纪律，服从管教。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未履行已执行）；责令退赔被害人经济损失人民币</w:t>
      </w:r>
      <w:r>
        <w:rPr>
          <w:rFonts w:eastAsia="仿宋_GB2312" w:ascii="仿宋_GB2312" w:hAnsi="仿宋_GB2312"/>
          <w:sz w:val="32"/>
          <w:szCs w:val="32"/>
        </w:rPr>
        <w:t>192425.13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日违反监规将洗澡巾放到储藏室柜顶扣分</w:t>
      </w:r>
      <w:r>
        <w:rPr>
          <w:rFonts w:eastAsia="仿宋_GB2312" w:ascii="仿宋_GB2312" w:hAnsi="仿宋_GB2312"/>
          <w:sz w:val="32"/>
          <w:szCs w:val="32"/>
        </w:rPr>
        <w:t>3.00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经审查，我院认为：罪犯赵江群符合提请减刑条件。未发现提请减刑建议不当，同意将案件交监狱长办公会审核。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综上所述，罪犯赵江群自上次裁定减刑以来，能认真遵守监规，接受教育改造，确有悔改表现。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江群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